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BF75" w14:textId="77777777" w:rsidR="00733A95" w:rsidRDefault="00733A95">
      <w:pPr>
        <w:pStyle w:val="Standard"/>
      </w:pPr>
    </w:p>
    <w:p w14:paraId="1BD6D90D" w14:textId="77777777" w:rsidR="001744C5" w:rsidRDefault="001744C5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tbl>
      <w:tblPr>
        <w:tblW w:w="10425" w:type="dxa"/>
        <w:tblInd w:w="-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6"/>
        <w:gridCol w:w="3809"/>
      </w:tblGrid>
      <w:tr w:rsidR="00733A95" w14:paraId="567A3BA5" w14:textId="77777777">
        <w:tblPrEx>
          <w:tblCellMar>
            <w:top w:w="0" w:type="dxa"/>
            <w:bottom w:w="0" w:type="dxa"/>
          </w:tblCellMar>
        </w:tblPrEx>
        <w:trPr>
          <w:trHeight w:val="316"/>
          <w:tblHeader/>
        </w:trPr>
        <w:tc>
          <w:tcPr>
            <w:tcW w:w="6616" w:type="dxa"/>
            <w:tcBorders>
              <w:bottom w:val="doub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190A1" w14:textId="77777777" w:rsidR="00733A95" w:rsidRDefault="001744C5">
            <w:pPr>
              <w:pStyle w:val="Standard"/>
              <w:suppressLineNumbers/>
              <w:spacing w:before="230" w:line="230" w:lineRule="exact"/>
              <w:ind w:left="397"/>
            </w:pPr>
            <w:r>
              <w:t xml:space="preserve"> </w:t>
            </w:r>
            <w:bookmarkStart w:id="0" w:name="T_DocumentContents_S_PriorPnNum"/>
            <w:bookmarkEnd w:id="0"/>
          </w:p>
        </w:tc>
        <w:tc>
          <w:tcPr>
            <w:tcW w:w="3809" w:type="dxa"/>
            <w:tcBorders>
              <w:bottom w:val="doub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64037" w14:textId="77777777" w:rsidR="00733A95" w:rsidRDefault="001744C5">
            <w:pPr>
              <w:pStyle w:val="Standard"/>
              <w:suppressLineNumbers/>
              <w:tabs>
                <w:tab w:val="right" w:pos="6520"/>
              </w:tabs>
              <w:ind w:right="340"/>
              <w:jc w:val="right"/>
            </w:pPr>
            <w:bookmarkStart w:id="1" w:name="T_DocumentContents_S_PnText"/>
            <w:r>
              <w:rPr>
                <w:szCs w:val="20"/>
              </w:rPr>
              <w:t>PRINTER'S NO.</w:t>
            </w:r>
            <w:r>
              <w:t xml:space="preserve"> </w:t>
            </w:r>
            <w:bookmarkEnd w:id="1"/>
            <w:r>
              <w:t xml:space="preserve"> </w:t>
            </w:r>
            <w:bookmarkStart w:id="2" w:name="T_DocumentContents_S_PnNum"/>
            <w:r>
              <w:rPr>
                <w:rFonts w:ascii="Arial" w:hAnsi="Arial"/>
                <w:sz w:val="36"/>
                <w:szCs w:val="36"/>
              </w:rPr>
              <w:t>1172</w:t>
            </w:r>
            <w:bookmarkEnd w:id="2"/>
          </w:p>
        </w:tc>
      </w:tr>
    </w:tbl>
    <w:p w14:paraId="2A4F1597" w14:textId="77777777" w:rsidR="00733A95" w:rsidRDefault="00733A95">
      <w:pPr>
        <w:pStyle w:val="Standard"/>
        <w:suppressLineNumbers/>
        <w:spacing w:line="232" w:lineRule="exact"/>
      </w:pPr>
    </w:p>
    <w:p w14:paraId="36FC1241" w14:textId="77777777" w:rsidR="00733A95" w:rsidRDefault="001744C5">
      <w:pPr>
        <w:pStyle w:val="Standard"/>
        <w:suppressLineNumbers/>
        <w:spacing w:before="57" w:after="57"/>
        <w:jc w:val="center"/>
        <w:rPr>
          <w:rFonts w:ascii="Arial" w:hAnsi="Arial"/>
          <w:b/>
          <w:spacing w:val="4"/>
        </w:rPr>
      </w:pPr>
      <w:r>
        <w:rPr>
          <w:rFonts w:ascii="Arial" w:hAnsi="Arial"/>
          <w:b/>
          <w:spacing w:val="4"/>
        </w:rPr>
        <w:t>THE GENERAL ASSEMBLY OF PENNSYLVANIA</w:t>
      </w:r>
    </w:p>
    <w:p w14:paraId="7F551DA1" w14:textId="77777777" w:rsidR="00733A95" w:rsidRDefault="00733A95">
      <w:pPr>
        <w:pStyle w:val="HorizontalLine"/>
        <w:ind w:left="2837" w:right="3182"/>
      </w:pPr>
    </w:p>
    <w:p w14:paraId="7F5E9768" w14:textId="77777777" w:rsidR="00733A95" w:rsidRDefault="001744C5">
      <w:pPr>
        <w:pStyle w:val="Standard"/>
        <w:suppressLineNumbers/>
        <w:spacing w:before="170"/>
        <w:ind w:left="283"/>
        <w:jc w:val="center"/>
        <w:rPr>
          <w:rFonts w:ascii="Arial" w:hAnsi="Arial"/>
          <w:sz w:val="72"/>
        </w:rPr>
      </w:pPr>
      <w:bookmarkStart w:id="3" w:name="T_DocumentContents_S_Chamber"/>
      <w:r>
        <w:rPr>
          <w:rFonts w:ascii="Arial" w:hAnsi="Arial"/>
          <w:sz w:val="72"/>
        </w:rPr>
        <w:t xml:space="preserve">SENATE </w:t>
      </w:r>
      <w:bookmarkStart w:id="4" w:name="T_DocumentContents_S_MeasureType"/>
      <w:bookmarkEnd w:id="3"/>
      <w:r>
        <w:rPr>
          <w:rFonts w:ascii="Arial" w:hAnsi="Arial"/>
          <w:sz w:val="72"/>
        </w:rPr>
        <w:t>BILL</w:t>
      </w:r>
      <w:bookmarkEnd w:id="4"/>
    </w:p>
    <w:tbl>
      <w:tblPr>
        <w:tblW w:w="4694" w:type="dxa"/>
        <w:tblInd w:w="2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"/>
        <w:gridCol w:w="2052"/>
        <w:gridCol w:w="1429"/>
      </w:tblGrid>
      <w:tr w:rsidR="00733A95" w14:paraId="0AA6D6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35C9A" w14:textId="77777777" w:rsidR="00733A95" w:rsidRDefault="001744C5">
            <w:pPr>
              <w:pStyle w:val="Standard"/>
              <w:suppressLineNumbers/>
              <w:rPr>
                <w:rFonts w:ascii="Arial" w:hAnsi="Arial"/>
                <w:sz w:val="52"/>
              </w:rPr>
            </w:pPr>
            <w:r>
              <w:rPr>
                <w:rFonts w:ascii="Arial" w:hAnsi="Arial"/>
                <w:sz w:val="52"/>
              </w:rPr>
              <w:t>No.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46879" w14:textId="77777777" w:rsidR="00733A95" w:rsidRDefault="00235F34">
            <w:pPr>
              <w:pStyle w:val="Standard"/>
              <w:suppressLineNumbers/>
              <w:ind w:left="283"/>
              <w:rPr>
                <w:rFonts w:ascii="Arial" w:hAnsi="Arial"/>
                <w:sz w:val="72"/>
              </w:rPr>
            </w:pPr>
            <w:r>
              <w:rPr>
                <w:rFonts w:ascii="Arial" w:hAnsi="Arial"/>
                <w:sz w:val="72"/>
              </w:rPr>
              <w:t>10</w:t>
            </w:r>
          </w:p>
        </w:tc>
        <w:tc>
          <w:tcPr>
            <w:tcW w:w="14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AC6B" w14:textId="77777777" w:rsidR="00733A95" w:rsidRDefault="001744C5">
            <w:pPr>
              <w:pStyle w:val="Standard"/>
              <w:suppressLineNumbers/>
              <w:jc w:val="center"/>
              <w:rPr>
                <w:rFonts w:ascii="Arial" w:hAnsi="Arial"/>
                <w:sz w:val="28"/>
              </w:rPr>
            </w:pPr>
            <w:bookmarkStart w:id="5" w:name="T_DocumentContents_S_SessionType"/>
            <w:r>
              <w:rPr>
                <w:rFonts w:ascii="Arial" w:hAnsi="Arial"/>
                <w:sz w:val="28"/>
              </w:rPr>
              <w:t>Session of</w:t>
            </w:r>
            <w:bookmarkEnd w:id="5"/>
          </w:p>
          <w:p w14:paraId="79CB6321" w14:textId="25B4A2FB" w:rsidR="00733A95" w:rsidRDefault="001744C5">
            <w:pPr>
              <w:pStyle w:val="Standard"/>
              <w:suppressLineNumbers/>
              <w:jc w:val="center"/>
              <w:rPr>
                <w:rFonts w:ascii="Arial" w:hAnsi="Arial"/>
                <w:sz w:val="28"/>
              </w:rPr>
            </w:pPr>
            <w:bookmarkStart w:id="6" w:name="T_DocumentContents_S_SessionYear"/>
            <w:r>
              <w:rPr>
                <w:rFonts w:ascii="Arial" w:hAnsi="Arial"/>
                <w:sz w:val="28"/>
              </w:rPr>
              <w:t>202</w:t>
            </w:r>
            <w:bookmarkEnd w:id="6"/>
            <w:r w:rsidR="00235F34">
              <w:rPr>
                <w:rFonts w:ascii="Arial" w:hAnsi="Arial"/>
                <w:sz w:val="28"/>
              </w:rPr>
              <w:t>4</w:t>
            </w:r>
          </w:p>
        </w:tc>
      </w:tr>
    </w:tbl>
    <w:p w14:paraId="3D72AF66" w14:textId="77777777" w:rsidR="00733A95" w:rsidRDefault="00733A95">
      <w:pPr>
        <w:pStyle w:val="Standard"/>
        <w:suppressLineNumbers/>
        <w:ind w:left="-346" w:right="-792"/>
        <w:rPr>
          <w:sz w:val="4"/>
          <w:szCs w:val="4"/>
        </w:rPr>
      </w:pPr>
    </w:p>
    <w:p w14:paraId="73BFA0FC" w14:textId="77777777" w:rsidR="00733A95" w:rsidRDefault="00733A95">
      <w:pPr>
        <w:pStyle w:val="Standard"/>
        <w:suppressLineNumbers/>
        <w:ind w:left="-346" w:right="-792"/>
        <w:rPr>
          <w:sz w:val="4"/>
          <w:szCs w:val="4"/>
        </w:rPr>
      </w:pPr>
    </w:p>
    <w:p w14:paraId="198FE7F3" w14:textId="77777777" w:rsidR="00733A95" w:rsidRDefault="00733A95">
      <w:pPr>
        <w:pStyle w:val="Standard"/>
        <w:suppressLineNumbers/>
        <w:spacing w:line="232" w:lineRule="exact"/>
      </w:pPr>
    </w:p>
    <w:p w14:paraId="40C20741" w14:textId="1DDD4603" w:rsidR="00733A95" w:rsidRDefault="001744C5">
      <w:pPr>
        <w:pStyle w:val="Standard"/>
        <w:suppressLineNumbers/>
        <w:spacing w:line="232" w:lineRule="exact"/>
        <w:ind w:left="437" w:hanging="437"/>
      </w:pPr>
      <w:bookmarkStart w:id="7" w:name="T_DocumentContents_S_IntroByText"/>
      <w:r>
        <w:t xml:space="preserve">INTRODUCED BY </w:t>
      </w:r>
      <w:bookmarkEnd w:id="7"/>
    </w:p>
    <w:p w14:paraId="6E9D285E" w14:textId="77777777" w:rsidR="00733A95" w:rsidRDefault="00733A95">
      <w:pPr>
        <w:pStyle w:val="Standard"/>
        <w:suppressLineNumbers/>
        <w:ind w:left="-346" w:right="-792"/>
        <w:rPr>
          <w:sz w:val="4"/>
          <w:szCs w:val="4"/>
        </w:rPr>
      </w:pPr>
    </w:p>
    <w:p w14:paraId="1E22A399" w14:textId="77777777" w:rsidR="00733A95" w:rsidRDefault="00733A95">
      <w:pPr>
        <w:pStyle w:val="Standard"/>
        <w:suppressLineNumbers/>
        <w:spacing w:line="232" w:lineRule="exact"/>
      </w:pPr>
    </w:p>
    <w:p w14:paraId="31EAEB64" w14:textId="4CD397DD" w:rsidR="00733A95" w:rsidRDefault="001744C5">
      <w:pPr>
        <w:pStyle w:val="Standard"/>
        <w:suppressLineNumbers/>
        <w:spacing w:line="232" w:lineRule="exact"/>
        <w:ind w:left="437" w:hanging="437"/>
      </w:pPr>
      <w:bookmarkStart w:id="8" w:name="T_DocumentContents_S_MeasureStatus"/>
      <w:r>
        <w:t xml:space="preserve">REFERRED TO HEALTH AND HUMAN </w:t>
      </w:r>
      <w:r>
        <w:t>SERVICES</w:t>
      </w:r>
      <w:bookmarkEnd w:id="8"/>
    </w:p>
    <w:p w14:paraId="1C5527C2" w14:textId="77777777" w:rsidR="00733A95" w:rsidRDefault="00733A95">
      <w:pPr>
        <w:pStyle w:val="Standard"/>
        <w:suppressLineNumbers/>
        <w:ind w:left="-346" w:right="-792"/>
        <w:rPr>
          <w:sz w:val="4"/>
          <w:szCs w:val="4"/>
        </w:rPr>
      </w:pPr>
    </w:p>
    <w:p w14:paraId="09E2FB72" w14:textId="77777777" w:rsidR="00733A95" w:rsidRDefault="00733A95">
      <w:pPr>
        <w:pStyle w:val="Standard"/>
        <w:suppressLineNumbers/>
        <w:spacing w:line="232" w:lineRule="exact"/>
      </w:pPr>
    </w:p>
    <w:p w14:paraId="63D50034" w14:textId="77777777" w:rsidR="00733A95" w:rsidRDefault="00733A95">
      <w:pPr>
        <w:pStyle w:val="Standard"/>
        <w:suppressLineNumbers/>
        <w:spacing w:line="232" w:lineRule="exact"/>
      </w:pPr>
      <w:bookmarkStart w:id="9" w:name="T_DocumentContents_S_MeasureTitle"/>
      <w:bookmarkEnd w:id="9"/>
    </w:p>
    <w:p w14:paraId="7D75C924" w14:textId="77777777" w:rsidR="001744C5" w:rsidRDefault="001744C5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p w14:paraId="2AB26CC1" w14:textId="77777777" w:rsidR="00733A95" w:rsidRDefault="001744C5">
      <w:pPr>
        <w:pStyle w:val="anact"/>
      </w:pPr>
      <w:r>
        <w:t>AN ACT</w:t>
      </w:r>
    </w:p>
    <w:p w14:paraId="1A02F990" w14:textId="77777777" w:rsidR="001744C5" w:rsidRDefault="001744C5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p w14:paraId="7F2CCDCB" w14:textId="77777777" w:rsidR="00733A95" w:rsidRDefault="00733A95">
      <w:pPr>
        <w:pStyle w:val="Standard"/>
        <w:suppressLineNumbers/>
        <w:spacing w:line="230" w:lineRule="exact"/>
      </w:pPr>
    </w:p>
    <w:p w14:paraId="74DFE5B2" w14:textId="4EB11256" w:rsidR="00733A95" w:rsidRDefault="00235F34">
      <w:pPr>
        <w:pStyle w:val="longtitle"/>
      </w:pPr>
      <w:bookmarkStart w:id="10" w:name="bodyStart"/>
      <w:bookmarkEnd w:id="10"/>
      <w:r>
        <w:t xml:space="preserve">Providing for involuntary </w:t>
      </w:r>
      <w:r w:rsidR="001744C5">
        <w:t>examination and treatment of substance use disorders.</w:t>
      </w:r>
    </w:p>
    <w:p w14:paraId="4C7BCEBB" w14:textId="77777777" w:rsidR="00733A95" w:rsidRDefault="001744C5">
      <w:pPr>
        <w:pStyle w:val="enacts"/>
        <w:suppressLineNumbers w:val="0"/>
      </w:pPr>
      <w:bookmarkStart w:id="11" w:name="1.08"/>
      <w:r>
        <w:t>The General Assembly of the Commonwealth of Pennsylvania</w:t>
      </w:r>
      <w:bookmarkEnd w:id="11"/>
      <w:r>
        <w:t xml:space="preserve"> </w:t>
      </w:r>
      <w:bookmarkStart w:id="12" w:name="1.09"/>
      <w:r>
        <w:t>hereby enacts as follows:</w:t>
      </w:r>
      <w:bookmarkEnd w:id="12"/>
    </w:p>
    <w:p w14:paraId="33F721DE" w14:textId="106FF0B2" w:rsidR="00733A95" w:rsidRPr="00235F34" w:rsidRDefault="001744C5" w:rsidP="00235F34">
      <w:pPr>
        <w:pStyle w:val="section"/>
        <w:rPr>
          <w:u w:val="single"/>
        </w:rPr>
      </w:pPr>
      <w:bookmarkStart w:id="13" w:name="1.10"/>
      <w:r>
        <w:t xml:space="preserve">Section 1.  </w:t>
      </w:r>
      <w:bookmarkStart w:id="14" w:name="1.14"/>
      <w:bookmarkEnd w:id="13"/>
      <w:r>
        <w:rPr>
          <w:color w:val="000000"/>
          <w:u w:val="single"/>
        </w:rPr>
        <w:t>INVOLUNTARY EXAMINATION AND TREATMENT OF</w:t>
      </w:r>
      <w:bookmarkEnd w:id="14"/>
    </w:p>
    <w:p w14:paraId="2ADB229B" w14:textId="77777777" w:rsidR="00733A95" w:rsidRDefault="001744C5">
      <w:pPr>
        <w:pStyle w:val="statutesection"/>
        <w:suppressLineNumbers w:val="0"/>
        <w:spacing w:line="465" w:lineRule="exact"/>
        <w:ind w:firstLine="0"/>
        <w:jc w:val="center"/>
        <w:rPr>
          <w:u w:val="single"/>
        </w:rPr>
      </w:pPr>
      <w:bookmarkStart w:id="15" w:name="1.15"/>
      <w:r>
        <w:rPr>
          <w:u w:val="single"/>
        </w:rPr>
        <w:t>S</w:t>
      </w:r>
      <w:r>
        <w:rPr>
          <w:u w:val="single"/>
        </w:rPr>
        <w:t>UBSTANCE USE DISORDERS</w:t>
      </w:r>
      <w:bookmarkEnd w:id="15"/>
    </w:p>
    <w:p w14:paraId="72329620" w14:textId="7E5E513A" w:rsidR="00733A95" w:rsidRDefault="001744C5">
      <w:pPr>
        <w:pStyle w:val="statutesection"/>
        <w:suppressLineNumbers w:val="0"/>
        <w:spacing w:line="465" w:lineRule="exact"/>
        <w:ind w:firstLine="0"/>
        <w:rPr>
          <w:u w:val="single"/>
        </w:rPr>
      </w:pPr>
      <w:bookmarkStart w:id="16" w:name="2.09"/>
      <w:r>
        <w:rPr>
          <w:u w:val="single"/>
        </w:rPr>
        <w:t xml:space="preserve">Section </w:t>
      </w:r>
      <w:r w:rsidR="00235F34">
        <w:rPr>
          <w:u w:val="single"/>
        </w:rPr>
        <w:t>1</w:t>
      </w:r>
      <w:r>
        <w:rPr>
          <w:u w:val="single"/>
        </w:rPr>
        <w:t>0</w:t>
      </w:r>
      <w:r w:rsidR="00235F34">
        <w:rPr>
          <w:u w:val="single"/>
        </w:rPr>
        <w:t>1</w:t>
      </w:r>
      <w:r>
        <w:rPr>
          <w:u w:val="single"/>
        </w:rPr>
        <w:t>-A.  Definitions.</w:t>
      </w:r>
      <w:bookmarkEnd w:id="16"/>
    </w:p>
    <w:p w14:paraId="19B62D5B" w14:textId="77777777" w:rsidR="00733A95" w:rsidRDefault="001744C5">
      <w:pPr>
        <w:pStyle w:val="subsection"/>
        <w:suppressLineNumbers w:val="0"/>
        <w:rPr>
          <w:u w:val="single"/>
        </w:rPr>
      </w:pPr>
      <w:bookmarkStart w:id="17" w:name="2.10"/>
      <w:r>
        <w:rPr>
          <w:u w:val="single"/>
        </w:rPr>
        <w:t>The following words and phrases when used in this article</w:t>
      </w:r>
      <w:bookmarkEnd w:id="17"/>
      <w:r>
        <w:rPr>
          <w:u w:val="single"/>
        </w:rPr>
        <w:t xml:space="preserve"> </w:t>
      </w:r>
      <w:bookmarkStart w:id="18" w:name="2.11"/>
      <w:r>
        <w:rPr>
          <w:u w:val="single"/>
        </w:rPr>
        <w:t>shall have the meanings given to them in this section unless the</w:t>
      </w:r>
      <w:bookmarkEnd w:id="18"/>
      <w:r>
        <w:rPr>
          <w:u w:val="single"/>
        </w:rPr>
        <w:t xml:space="preserve"> </w:t>
      </w:r>
      <w:bookmarkStart w:id="19" w:name="2.12"/>
      <w:r>
        <w:rPr>
          <w:u w:val="single"/>
        </w:rPr>
        <w:t>context clearly indicates otherwise:</w:t>
      </w:r>
      <w:bookmarkEnd w:id="19"/>
    </w:p>
    <w:p w14:paraId="7CF6CCE7" w14:textId="77777777" w:rsidR="00733A95" w:rsidRDefault="001744C5">
      <w:pPr>
        <w:pStyle w:val="subsection"/>
        <w:suppressLineNumbers w:val="0"/>
        <w:rPr>
          <w:u w:val="single"/>
        </w:rPr>
      </w:pPr>
      <w:bookmarkStart w:id="20" w:name="2.13"/>
      <w:r>
        <w:rPr>
          <w:u w:val="single"/>
        </w:rPr>
        <w:t>"Drug."  A substance that produces a physiological effect</w:t>
      </w:r>
      <w:bookmarkEnd w:id="20"/>
      <w:r>
        <w:rPr>
          <w:u w:val="single"/>
        </w:rPr>
        <w:t xml:space="preserve"> </w:t>
      </w:r>
      <w:bookmarkStart w:id="21" w:name="2.14"/>
      <w:r>
        <w:rPr>
          <w:u w:val="single"/>
        </w:rPr>
        <w:t>when ingested or introduced into the body. The term includes an</w:t>
      </w:r>
      <w:bookmarkEnd w:id="21"/>
      <w:r>
        <w:rPr>
          <w:u w:val="single"/>
        </w:rPr>
        <w:t xml:space="preserve"> </w:t>
      </w:r>
      <w:bookmarkStart w:id="22" w:name="2.15"/>
      <w:r>
        <w:rPr>
          <w:u w:val="single"/>
        </w:rPr>
        <w:t>illicit or legal substance.</w:t>
      </w:r>
      <w:bookmarkEnd w:id="22"/>
    </w:p>
    <w:p w14:paraId="1325A9BC" w14:textId="77777777" w:rsidR="00733A95" w:rsidRDefault="001744C5">
      <w:pPr>
        <w:pStyle w:val="subsection"/>
        <w:suppressLineNumbers w:val="0"/>
        <w:rPr>
          <w:u w:val="single"/>
        </w:rPr>
      </w:pPr>
      <w:bookmarkStart w:id="23" w:name="2.19"/>
      <w:r>
        <w:rPr>
          <w:u w:val="single"/>
        </w:rPr>
        <w:t>"Substance use disorder."  A treatable mental health</w:t>
      </w:r>
      <w:bookmarkEnd w:id="23"/>
      <w:r>
        <w:rPr>
          <w:u w:val="single"/>
        </w:rPr>
        <w:t xml:space="preserve"> </w:t>
      </w:r>
      <w:bookmarkStart w:id="24" w:name="2.20"/>
      <w:r>
        <w:rPr>
          <w:u w:val="single"/>
        </w:rPr>
        <w:t>condition that affects a person's brain and behavior, leading to</w:t>
      </w:r>
      <w:bookmarkEnd w:id="24"/>
      <w:r>
        <w:rPr>
          <w:u w:val="single"/>
        </w:rPr>
        <w:t xml:space="preserve"> </w:t>
      </w:r>
      <w:bookmarkStart w:id="25" w:name="2.21"/>
      <w:r>
        <w:rPr>
          <w:u w:val="single"/>
        </w:rPr>
        <w:t>the person's inability to control the person's use of legal or</w:t>
      </w:r>
      <w:bookmarkEnd w:id="25"/>
      <w:r>
        <w:rPr>
          <w:u w:val="single"/>
        </w:rPr>
        <w:t xml:space="preserve"> </w:t>
      </w:r>
      <w:bookmarkStart w:id="26" w:name="2.22"/>
      <w:r>
        <w:rPr>
          <w:u w:val="single"/>
        </w:rPr>
        <w:t xml:space="preserve">illegal drugs, </w:t>
      </w:r>
      <w:proofErr w:type="gramStart"/>
      <w:r>
        <w:rPr>
          <w:u w:val="single"/>
        </w:rPr>
        <w:t>alcohol</w:t>
      </w:r>
      <w:proofErr w:type="gramEnd"/>
      <w:r>
        <w:rPr>
          <w:u w:val="single"/>
        </w:rPr>
        <w:t xml:space="preserve"> or medications.</w:t>
      </w:r>
      <w:bookmarkEnd w:id="26"/>
    </w:p>
    <w:p w14:paraId="70C35013" w14:textId="77777777" w:rsidR="00235F34" w:rsidRDefault="00235F34">
      <w:pPr>
        <w:pStyle w:val="subsection"/>
        <w:suppressLineNumbers w:val="0"/>
        <w:rPr>
          <w:u w:val="single"/>
        </w:rPr>
      </w:pPr>
    </w:p>
    <w:p w14:paraId="26ED4081" w14:textId="50FBF013" w:rsidR="00733A95" w:rsidRDefault="001744C5">
      <w:pPr>
        <w:pStyle w:val="sectionheading"/>
        <w:suppressLineNumbers w:val="0"/>
      </w:pPr>
      <w:bookmarkStart w:id="27" w:name="2.23"/>
      <w:r>
        <w:rPr>
          <w:u w:val="single"/>
        </w:rPr>
        <w:lastRenderedPageBreak/>
        <w:t xml:space="preserve">Section </w:t>
      </w:r>
      <w:r w:rsidR="00235F34">
        <w:rPr>
          <w:u w:val="single"/>
        </w:rPr>
        <w:t>102</w:t>
      </w:r>
      <w:r>
        <w:rPr>
          <w:u w:val="single"/>
        </w:rPr>
        <w:t xml:space="preserve">-A.  </w:t>
      </w:r>
      <w:r>
        <w:rPr>
          <w:u w:val="single"/>
        </w:rPr>
        <w:t>Applicability to persons with substance use</w:t>
      </w:r>
      <w:bookmarkEnd w:id="27"/>
      <w:r>
        <w:rPr>
          <w:spacing w:val="40"/>
          <w:u w:val="single"/>
        </w:rPr>
        <w:t xml:space="preserve"> </w:t>
      </w:r>
      <w:bookmarkStart w:id="28" w:name="2.24"/>
      <w:r>
        <w:rPr>
          <w:u w:val="single"/>
        </w:rPr>
        <w:t>disorders.</w:t>
      </w:r>
      <w:bookmarkEnd w:id="28"/>
    </w:p>
    <w:p w14:paraId="76D058F8" w14:textId="3E551166" w:rsidR="00733A95" w:rsidRDefault="001744C5">
      <w:pPr>
        <w:pStyle w:val="subsection"/>
        <w:suppressLineNumbers w:val="0"/>
        <w:rPr>
          <w:u w:val="single"/>
        </w:rPr>
      </w:pPr>
      <w:bookmarkStart w:id="29" w:name="2.25"/>
      <w:r>
        <w:rPr>
          <w:u w:val="single"/>
        </w:rPr>
        <w:t xml:space="preserve">(a)  </w:t>
      </w:r>
      <w:proofErr w:type="gramStart"/>
      <w:r>
        <w:rPr>
          <w:u w:val="single"/>
        </w:rPr>
        <w:t>Construction.--</w:t>
      </w:r>
      <w:bookmarkStart w:id="30" w:name="2.28"/>
      <w:bookmarkEnd w:id="29"/>
      <w:proofErr w:type="gramEnd"/>
      <w:r w:rsidR="00235F34">
        <w:rPr>
          <w:u w:val="single"/>
        </w:rPr>
        <w:t>A</w:t>
      </w:r>
      <w:r>
        <w:rPr>
          <w:spacing w:val="40"/>
          <w:u w:val="single"/>
        </w:rPr>
        <w:t xml:space="preserve"> </w:t>
      </w:r>
      <w:r>
        <w:rPr>
          <w:u w:val="single"/>
        </w:rPr>
        <w:t>person with</w:t>
      </w:r>
      <w:bookmarkEnd w:id="30"/>
      <w:r>
        <w:rPr>
          <w:u w:val="single"/>
        </w:rPr>
        <w:t xml:space="preserve"> </w:t>
      </w:r>
      <w:bookmarkStart w:id="31" w:name="2.29"/>
      <w:r>
        <w:rPr>
          <w:u w:val="single"/>
        </w:rPr>
        <w:t>a substance use disorder who has experienced a drug overdose</w:t>
      </w:r>
      <w:bookmarkEnd w:id="31"/>
      <w:r>
        <w:rPr>
          <w:u w:val="single"/>
        </w:rPr>
        <w:t xml:space="preserve"> </w:t>
      </w:r>
      <w:bookmarkStart w:id="32" w:name="2.30"/>
      <w:r>
        <w:rPr>
          <w:u w:val="single"/>
        </w:rPr>
        <w:t xml:space="preserve">event may be construed as a person who is mentally ill </w:t>
      </w:r>
      <w:bookmarkStart w:id="33" w:name="3.01"/>
      <w:bookmarkEnd w:id="32"/>
      <w:r>
        <w:rPr>
          <w:u w:val="single"/>
        </w:rPr>
        <w:t>under this act.</w:t>
      </w:r>
      <w:bookmarkEnd w:id="33"/>
    </w:p>
    <w:p w14:paraId="42C7E6AC" w14:textId="60894A59" w:rsidR="00235F34" w:rsidRDefault="001744C5">
      <w:pPr>
        <w:pStyle w:val="subsection"/>
        <w:suppressLineNumbers w:val="0"/>
        <w:rPr>
          <w:color w:val="000000"/>
          <w:u w:val="single"/>
        </w:rPr>
      </w:pPr>
      <w:bookmarkStart w:id="34" w:name="3.02"/>
      <w:r>
        <w:rPr>
          <w:color w:val="000000"/>
          <w:u w:val="single"/>
        </w:rPr>
        <w:t xml:space="preserve">(b)  </w:t>
      </w:r>
      <w:proofErr w:type="gramStart"/>
      <w:r>
        <w:rPr>
          <w:color w:val="000000"/>
          <w:u w:val="single"/>
        </w:rPr>
        <w:t>Immunity.--</w:t>
      </w:r>
      <w:proofErr w:type="gramEnd"/>
      <w:r>
        <w:rPr>
          <w:color w:val="000000"/>
          <w:u w:val="single"/>
        </w:rPr>
        <w:t>A person with a substance use disorder who</w:t>
      </w:r>
      <w:bookmarkEnd w:id="34"/>
      <w:r>
        <w:rPr>
          <w:color w:val="000000"/>
          <w:u w:val="single"/>
        </w:rPr>
        <w:t xml:space="preserve"> </w:t>
      </w:r>
      <w:bookmarkStart w:id="35" w:name="3.03"/>
      <w:r>
        <w:rPr>
          <w:color w:val="000000"/>
          <w:u w:val="single"/>
        </w:rPr>
        <w:t>has</w:t>
      </w:r>
      <w:r>
        <w:rPr>
          <w:color w:val="000000"/>
          <w:spacing w:val="40"/>
          <w:u w:val="single"/>
        </w:rPr>
        <w:t xml:space="preserve"> </w:t>
      </w:r>
      <w:r>
        <w:rPr>
          <w:color w:val="000000"/>
          <w:u w:val="single"/>
        </w:rPr>
        <w:t>experienced a drug overdose event may not be charged and</w:t>
      </w:r>
      <w:bookmarkEnd w:id="35"/>
      <w:r>
        <w:rPr>
          <w:color w:val="000000"/>
          <w:u w:val="single"/>
        </w:rPr>
        <w:t xml:space="preserve"> </w:t>
      </w:r>
      <w:bookmarkStart w:id="36" w:name="3.04"/>
      <w:r>
        <w:rPr>
          <w:color w:val="000000"/>
          <w:u w:val="single"/>
        </w:rPr>
        <w:t>shall be immune</w:t>
      </w:r>
      <w:r>
        <w:rPr>
          <w:color w:val="000000"/>
          <w:spacing w:val="40"/>
          <w:u w:val="single"/>
        </w:rPr>
        <w:t xml:space="preserve"> </w:t>
      </w:r>
      <w:r>
        <w:rPr>
          <w:color w:val="000000"/>
          <w:u w:val="single"/>
        </w:rPr>
        <w:t>from prosecution and for a violation of</w:t>
      </w:r>
      <w:bookmarkEnd w:id="36"/>
      <w:r>
        <w:rPr>
          <w:color w:val="000000"/>
          <w:u w:val="single"/>
        </w:rPr>
        <w:t xml:space="preserve"> </w:t>
      </w:r>
      <w:bookmarkStart w:id="37" w:name="3.05"/>
      <w:r>
        <w:rPr>
          <w:color w:val="000000"/>
          <w:u w:val="single"/>
        </w:rPr>
        <w:t>probation or parole if</w:t>
      </w:r>
      <w:r>
        <w:rPr>
          <w:color w:val="000000"/>
          <w:spacing w:val="40"/>
          <w:u w:val="single"/>
        </w:rPr>
        <w:t xml:space="preserve"> </w:t>
      </w:r>
      <w:r>
        <w:rPr>
          <w:color w:val="000000"/>
          <w:u w:val="single"/>
        </w:rPr>
        <w:t>law enforcement only became aware of the</w:t>
      </w:r>
      <w:bookmarkEnd w:id="37"/>
      <w:r>
        <w:rPr>
          <w:color w:val="000000"/>
          <w:u w:val="single"/>
        </w:rPr>
        <w:t xml:space="preserve"> </w:t>
      </w:r>
      <w:bookmarkStart w:id="38" w:name="3.06"/>
      <w:r>
        <w:rPr>
          <w:color w:val="000000"/>
          <w:u w:val="single"/>
        </w:rPr>
        <w:t xml:space="preserve">person's commission </w:t>
      </w:r>
      <w:bookmarkStart w:id="39" w:name="3.09"/>
      <w:bookmarkEnd w:id="38"/>
      <w:r>
        <w:rPr>
          <w:color w:val="000000"/>
          <w:u w:val="single"/>
        </w:rPr>
        <w:t>because the person received</w:t>
      </w:r>
      <w:r>
        <w:rPr>
          <w:color w:val="000000"/>
          <w:spacing w:val="40"/>
          <w:u w:val="single"/>
        </w:rPr>
        <w:t xml:space="preserve"> </w:t>
      </w:r>
      <w:bookmarkStart w:id="40" w:name="3.10"/>
      <w:bookmarkEnd w:id="39"/>
      <w:r>
        <w:rPr>
          <w:color w:val="000000"/>
          <w:u w:val="single"/>
        </w:rPr>
        <w:t xml:space="preserve">involuntary treatment under this act. </w:t>
      </w:r>
    </w:p>
    <w:p w14:paraId="31F22691" w14:textId="1461A661" w:rsidR="00733A95" w:rsidRDefault="00235F34">
      <w:pPr>
        <w:pStyle w:val="subsection"/>
        <w:suppressLineNumbers w:val="0"/>
        <w:rPr>
          <w:color w:val="000000"/>
          <w:u w:val="single"/>
        </w:rPr>
      </w:pPr>
      <w:r>
        <w:rPr>
          <w:color w:val="000000"/>
          <w:u w:val="single"/>
        </w:rPr>
        <w:t xml:space="preserve">(c)  </w:t>
      </w:r>
      <w:r w:rsidR="001744C5">
        <w:rPr>
          <w:color w:val="000000"/>
          <w:u w:val="single"/>
        </w:rPr>
        <w:t>The following shall apply:</w:t>
      </w:r>
      <w:bookmarkEnd w:id="40"/>
    </w:p>
    <w:p w14:paraId="70A52A50" w14:textId="160406D7" w:rsidR="00733A95" w:rsidRDefault="001744C5" w:rsidP="00235F34">
      <w:pPr>
        <w:pStyle w:val="paragraph"/>
        <w:suppressLineNumbers w:val="0"/>
        <w:rPr>
          <w:u w:val="single"/>
        </w:rPr>
      </w:pPr>
      <w:bookmarkStart w:id="41" w:name="3.11"/>
      <w:r>
        <w:rPr>
          <w:u w:val="single"/>
        </w:rPr>
        <w:t>(1)  This subsection may not interfere with or prevent</w:t>
      </w:r>
      <w:bookmarkEnd w:id="41"/>
      <w:r>
        <w:rPr>
          <w:u w:val="single"/>
        </w:rPr>
        <w:t xml:space="preserve"> </w:t>
      </w:r>
      <w:bookmarkStart w:id="42" w:name="3.12"/>
      <w:r>
        <w:rPr>
          <w:u w:val="single"/>
        </w:rPr>
        <w:t>the investigation, arrest, charging or prosecution of a</w:t>
      </w:r>
      <w:bookmarkEnd w:id="42"/>
      <w:r>
        <w:rPr>
          <w:u w:val="single"/>
        </w:rPr>
        <w:t xml:space="preserve"> </w:t>
      </w:r>
      <w:bookmarkStart w:id="43" w:name="3.13"/>
      <w:r>
        <w:rPr>
          <w:u w:val="single"/>
        </w:rPr>
        <w:t>person for the delivery or distribution of a controlled</w:t>
      </w:r>
      <w:bookmarkEnd w:id="43"/>
      <w:r>
        <w:rPr>
          <w:u w:val="single"/>
        </w:rPr>
        <w:t xml:space="preserve"> </w:t>
      </w:r>
      <w:bookmarkStart w:id="44" w:name="3.14"/>
      <w:r>
        <w:rPr>
          <w:u w:val="single"/>
        </w:rPr>
        <w:t xml:space="preserve">substance, </w:t>
      </w:r>
      <w:r w:rsidR="00235F34">
        <w:rPr>
          <w:u w:val="single"/>
        </w:rPr>
        <w:t xml:space="preserve">or </w:t>
      </w:r>
      <w:r>
        <w:rPr>
          <w:u w:val="single"/>
        </w:rPr>
        <w:t>drug-induced homicide</w:t>
      </w:r>
      <w:bookmarkStart w:id="45" w:name="3.16"/>
      <w:bookmarkEnd w:id="44"/>
      <w:r>
        <w:rPr>
          <w:u w:val="single"/>
        </w:rPr>
        <w:t>.</w:t>
      </w:r>
      <w:bookmarkEnd w:id="45"/>
    </w:p>
    <w:p w14:paraId="5C1ED6DA" w14:textId="0DF61F70" w:rsidR="00733A95" w:rsidRDefault="001744C5">
      <w:pPr>
        <w:pStyle w:val="paragraph"/>
        <w:suppressLineNumbers w:val="0"/>
        <w:rPr>
          <w:u w:val="single"/>
        </w:rPr>
      </w:pPr>
      <w:bookmarkStart w:id="46" w:name="3.25"/>
      <w:r>
        <w:rPr>
          <w:u w:val="single"/>
        </w:rPr>
        <w:t>(</w:t>
      </w:r>
      <w:r w:rsidR="00235F34">
        <w:rPr>
          <w:u w:val="single"/>
        </w:rPr>
        <w:t>2</w:t>
      </w:r>
      <w:r>
        <w:rPr>
          <w:u w:val="single"/>
        </w:rPr>
        <w:t xml:space="preserve">)  </w:t>
      </w:r>
      <w:bookmarkStart w:id="47" w:name="3.26"/>
      <w:bookmarkEnd w:id="46"/>
      <w:r w:rsidR="00235F34">
        <w:rPr>
          <w:u w:val="single"/>
        </w:rPr>
        <w:t>A</w:t>
      </w:r>
      <w:r>
        <w:rPr>
          <w:u w:val="single"/>
        </w:rPr>
        <w:t>n</w:t>
      </w:r>
      <w:r>
        <w:rPr>
          <w:u w:val="single"/>
        </w:rPr>
        <w:t xml:space="preserve"> enforcement officer or</w:t>
      </w:r>
      <w:bookmarkEnd w:id="47"/>
      <w:r>
        <w:rPr>
          <w:u w:val="single"/>
        </w:rPr>
        <w:t xml:space="preserve"> </w:t>
      </w:r>
      <w:bookmarkStart w:id="48" w:name="3.27"/>
      <w:r>
        <w:rPr>
          <w:u w:val="single"/>
        </w:rPr>
        <w:t>prosecuting attorney who, acting in good faith, charges a</w:t>
      </w:r>
      <w:bookmarkEnd w:id="48"/>
      <w:r>
        <w:rPr>
          <w:u w:val="single"/>
        </w:rPr>
        <w:t xml:space="preserve"> </w:t>
      </w:r>
      <w:bookmarkStart w:id="49" w:name="3.28"/>
      <w:r>
        <w:rPr>
          <w:u w:val="single"/>
        </w:rPr>
        <w:t>person who is thereafter determined to be entitled to</w:t>
      </w:r>
      <w:bookmarkEnd w:id="49"/>
      <w:r>
        <w:rPr>
          <w:u w:val="single"/>
        </w:rPr>
        <w:t xml:space="preserve"> </w:t>
      </w:r>
      <w:bookmarkStart w:id="50" w:name="3.29"/>
      <w:r>
        <w:rPr>
          <w:u w:val="single"/>
        </w:rPr>
        <w:t>immunity under this subsection shall not be subject to civil</w:t>
      </w:r>
      <w:bookmarkEnd w:id="50"/>
      <w:r>
        <w:rPr>
          <w:u w:val="single"/>
        </w:rPr>
        <w:t xml:space="preserve"> </w:t>
      </w:r>
      <w:bookmarkStart w:id="51" w:name="3.30"/>
      <w:r>
        <w:rPr>
          <w:u w:val="single"/>
        </w:rPr>
        <w:t>liability for the filing of the charges.</w:t>
      </w:r>
      <w:bookmarkEnd w:id="51"/>
    </w:p>
    <w:p w14:paraId="26254AE7" w14:textId="5F92BB38" w:rsidR="00733A95" w:rsidRDefault="001744C5">
      <w:pPr>
        <w:pStyle w:val="sectionheading"/>
      </w:pPr>
      <w:bookmarkStart w:id="52" w:name="4.01"/>
      <w:r>
        <w:rPr>
          <w:u w:val="single"/>
        </w:rPr>
        <w:t xml:space="preserve">Section </w:t>
      </w:r>
      <w:r w:rsidR="00235F34">
        <w:rPr>
          <w:color w:val="000000"/>
          <w:u w:val="single"/>
          <w:shd w:val="clear" w:color="auto" w:fill="FFFFFF"/>
        </w:rPr>
        <w:t>103</w:t>
      </w:r>
      <w:r>
        <w:rPr>
          <w:color w:val="000000"/>
          <w:u w:val="single"/>
          <w:shd w:val="clear" w:color="auto" w:fill="FFFFFF"/>
        </w:rPr>
        <w:t>-A</w:t>
      </w:r>
      <w:r>
        <w:rPr>
          <w:u w:val="single"/>
        </w:rPr>
        <w:t>.  Persons who may be subject to involuntary</w:t>
      </w:r>
      <w:bookmarkEnd w:id="52"/>
      <w:r>
        <w:rPr>
          <w:u w:val="single"/>
        </w:rPr>
        <w:t xml:space="preserve"> </w:t>
      </w:r>
      <w:bookmarkStart w:id="53" w:name="4.02"/>
      <w:r>
        <w:rPr>
          <w:u w:val="single"/>
        </w:rPr>
        <w:t>emergency examination and treatment.</w:t>
      </w:r>
      <w:bookmarkEnd w:id="53"/>
    </w:p>
    <w:p w14:paraId="7FB7545C" w14:textId="77777777" w:rsidR="00733A95" w:rsidRDefault="001744C5">
      <w:pPr>
        <w:pStyle w:val="subsection"/>
        <w:rPr>
          <w:u w:val="single"/>
        </w:rPr>
      </w:pPr>
      <w:bookmarkStart w:id="54" w:name="4.03"/>
      <w:r>
        <w:rPr>
          <w:u w:val="single"/>
        </w:rPr>
        <w:t>If a person experiences a drug overdose event, the person</w:t>
      </w:r>
      <w:bookmarkEnd w:id="54"/>
      <w:r>
        <w:rPr>
          <w:u w:val="single"/>
        </w:rPr>
        <w:t xml:space="preserve"> </w:t>
      </w:r>
      <w:bookmarkStart w:id="55" w:name="4.04"/>
      <w:r>
        <w:rPr>
          <w:u w:val="single"/>
        </w:rPr>
        <w:t xml:space="preserve">shall </w:t>
      </w:r>
      <w:proofErr w:type="gramStart"/>
      <w:r>
        <w:rPr>
          <w:u w:val="single"/>
        </w:rPr>
        <w:t>be in need of</w:t>
      </w:r>
      <w:proofErr w:type="gramEnd"/>
      <w:r>
        <w:rPr>
          <w:u w:val="single"/>
        </w:rPr>
        <w:t xml:space="preserve"> immediate treatment for the substance use</w:t>
      </w:r>
      <w:bookmarkEnd w:id="55"/>
      <w:r>
        <w:rPr>
          <w:u w:val="single"/>
        </w:rPr>
        <w:t xml:space="preserve"> </w:t>
      </w:r>
      <w:bookmarkStart w:id="56" w:name="4.05"/>
      <w:r>
        <w:rPr>
          <w:u w:val="single"/>
        </w:rPr>
        <w:t>disorder if the person has been given a life-sustaining drug by</w:t>
      </w:r>
      <w:bookmarkEnd w:id="56"/>
      <w:r>
        <w:rPr>
          <w:u w:val="single"/>
        </w:rPr>
        <w:t xml:space="preserve"> </w:t>
      </w:r>
      <w:bookmarkStart w:id="57" w:name="4.06"/>
      <w:r>
        <w:rPr>
          <w:u w:val="single"/>
        </w:rPr>
        <w:t>an individual, EMS provider or physician for an intentional or</w:t>
      </w:r>
      <w:bookmarkEnd w:id="57"/>
      <w:r>
        <w:rPr>
          <w:u w:val="single"/>
        </w:rPr>
        <w:t xml:space="preserve"> </w:t>
      </w:r>
      <w:bookmarkStart w:id="58" w:name="4.07"/>
      <w:r>
        <w:rPr>
          <w:u w:val="single"/>
        </w:rPr>
        <w:t>unintentional drug overdose or the person has been transported</w:t>
      </w:r>
      <w:bookmarkEnd w:id="58"/>
      <w:r>
        <w:rPr>
          <w:u w:val="single"/>
        </w:rPr>
        <w:t xml:space="preserve"> </w:t>
      </w:r>
      <w:bookmarkStart w:id="59" w:name="4.08"/>
      <w:r>
        <w:rPr>
          <w:u w:val="single"/>
        </w:rPr>
        <w:t>to a hospital for an intentional or unintentional drug overdose.</w:t>
      </w:r>
      <w:bookmarkEnd w:id="59"/>
    </w:p>
    <w:p w14:paraId="372C4276" w14:textId="1CBBE0FD" w:rsidR="00733A95" w:rsidRDefault="001744C5">
      <w:pPr>
        <w:pStyle w:val="sectionheading"/>
        <w:rPr>
          <w:u w:val="single"/>
        </w:rPr>
      </w:pPr>
      <w:bookmarkStart w:id="60" w:name="4.09"/>
      <w:r>
        <w:rPr>
          <w:u w:val="single"/>
        </w:rPr>
        <w:lastRenderedPageBreak/>
        <w:t xml:space="preserve">Section </w:t>
      </w:r>
      <w:r w:rsidR="00235F34">
        <w:rPr>
          <w:color w:val="000000"/>
          <w:u w:val="single"/>
          <w:shd w:val="clear" w:color="auto" w:fill="FFFFFF"/>
        </w:rPr>
        <w:t>104</w:t>
      </w:r>
      <w:r>
        <w:rPr>
          <w:color w:val="000000"/>
          <w:u w:val="single"/>
          <w:shd w:val="clear" w:color="auto" w:fill="FFFFFF"/>
        </w:rPr>
        <w:t>-A</w:t>
      </w:r>
      <w:r>
        <w:rPr>
          <w:u w:val="single"/>
        </w:rPr>
        <w:t>.  Involuntary emergency examination and treatment</w:t>
      </w:r>
      <w:bookmarkEnd w:id="60"/>
      <w:r>
        <w:rPr>
          <w:u w:val="single"/>
        </w:rPr>
        <w:t xml:space="preserve"> </w:t>
      </w:r>
      <w:bookmarkStart w:id="61" w:name="4.10"/>
      <w:r>
        <w:rPr>
          <w:u w:val="single"/>
        </w:rPr>
        <w:t>authorized by physician or substance use disorder</w:t>
      </w:r>
      <w:bookmarkEnd w:id="61"/>
      <w:r>
        <w:rPr>
          <w:u w:val="single"/>
        </w:rPr>
        <w:t xml:space="preserve"> </w:t>
      </w:r>
      <w:bookmarkStart w:id="62" w:name="4.11"/>
      <w:r>
        <w:rPr>
          <w:u w:val="single"/>
        </w:rPr>
        <w:t>treatment provider.</w:t>
      </w:r>
      <w:bookmarkEnd w:id="62"/>
    </w:p>
    <w:p w14:paraId="37FE7838" w14:textId="77777777" w:rsidR="00733A95" w:rsidRDefault="001744C5">
      <w:pPr>
        <w:pStyle w:val="subsection"/>
        <w:rPr>
          <w:u w:val="single"/>
        </w:rPr>
      </w:pPr>
      <w:bookmarkStart w:id="63" w:name="4.12"/>
      <w:r>
        <w:rPr>
          <w:u w:val="single"/>
        </w:rPr>
        <w:t xml:space="preserve">(a)  Application for </w:t>
      </w:r>
      <w:proofErr w:type="gramStart"/>
      <w:r>
        <w:rPr>
          <w:u w:val="single"/>
        </w:rPr>
        <w:t>examination.--</w:t>
      </w:r>
      <w:proofErr w:type="gramEnd"/>
      <w:r>
        <w:rPr>
          <w:u w:val="single"/>
        </w:rPr>
        <w:t>Emergency examination may</w:t>
      </w:r>
      <w:bookmarkEnd w:id="63"/>
      <w:r>
        <w:rPr>
          <w:u w:val="single"/>
        </w:rPr>
        <w:t xml:space="preserve"> </w:t>
      </w:r>
      <w:bookmarkStart w:id="64" w:name="4.13"/>
      <w:r>
        <w:rPr>
          <w:u w:val="single"/>
        </w:rPr>
        <w:t>be undertaken at a treatment facility upon any of the following:</w:t>
      </w:r>
      <w:bookmarkEnd w:id="64"/>
    </w:p>
    <w:p w14:paraId="3856BD88" w14:textId="77777777" w:rsidR="00733A95" w:rsidRDefault="001744C5">
      <w:pPr>
        <w:pStyle w:val="paragraph"/>
        <w:rPr>
          <w:u w:val="single"/>
        </w:rPr>
      </w:pPr>
      <w:bookmarkStart w:id="65" w:name="4.14"/>
      <w:r>
        <w:rPr>
          <w:u w:val="single"/>
        </w:rPr>
        <w:t>(1)  The certification of a physician or substance use</w:t>
      </w:r>
      <w:bookmarkEnd w:id="65"/>
      <w:r>
        <w:rPr>
          <w:u w:val="single"/>
        </w:rPr>
        <w:t xml:space="preserve"> </w:t>
      </w:r>
      <w:bookmarkStart w:id="66" w:name="4.15"/>
      <w:r>
        <w:rPr>
          <w:u w:val="single"/>
        </w:rPr>
        <w:t xml:space="preserve">disorder treatment provider stating the need for </w:t>
      </w:r>
      <w:proofErr w:type="gramStart"/>
      <w:r>
        <w:rPr>
          <w:u w:val="single"/>
        </w:rPr>
        <w:t>the</w:t>
      </w:r>
      <w:bookmarkEnd w:id="66"/>
      <w:r>
        <w:rPr>
          <w:u w:val="single"/>
        </w:rPr>
        <w:t xml:space="preserve">  </w:t>
      </w:r>
      <w:bookmarkStart w:id="67" w:name="4.16"/>
      <w:r>
        <w:rPr>
          <w:u w:val="single"/>
        </w:rPr>
        <w:t>examination</w:t>
      </w:r>
      <w:proofErr w:type="gramEnd"/>
      <w:r>
        <w:rPr>
          <w:u w:val="single"/>
        </w:rPr>
        <w:t>.</w:t>
      </w:r>
      <w:bookmarkEnd w:id="67"/>
    </w:p>
    <w:p w14:paraId="72B1E54B" w14:textId="77777777" w:rsidR="00733A95" w:rsidRDefault="001744C5">
      <w:pPr>
        <w:pStyle w:val="paragraph"/>
        <w:rPr>
          <w:u w:val="single"/>
        </w:rPr>
      </w:pPr>
      <w:bookmarkStart w:id="68" w:name="4.17"/>
      <w:r>
        <w:rPr>
          <w:u w:val="single"/>
        </w:rPr>
        <w:t>(2)  A warrant issued by the county administrator</w:t>
      </w:r>
      <w:bookmarkEnd w:id="68"/>
      <w:r>
        <w:rPr>
          <w:u w:val="single"/>
        </w:rPr>
        <w:t xml:space="preserve"> </w:t>
      </w:r>
      <w:bookmarkStart w:id="69" w:name="4.18"/>
      <w:r>
        <w:rPr>
          <w:u w:val="single"/>
        </w:rPr>
        <w:t>authorizing the examination.</w:t>
      </w:r>
      <w:bookmarkEnd w:id="69"/>
    </w:p>
    <w:p w14:paraId="2DB654C0" w14:textId="77777777" w:rsidR="00733A95" w:rsidRDefault="001744C5">
      <w:pPr>
        <w:pStyle w:val="paragraph"/>
        <w:rPr>
          <w:u w:val="single"/>
        </w:rPr>
      </w:pPr>
      <w:bookmarkStart w:id="70" w:name="4.19"/>
      <w:r>
        <w:rPr>
          <w:u w:val="single"/>
        </w:rPr>
        <w:t>(3)  Without a warrant, an application by a physician,</w:t>
      </w:r>
      <w:bookmarkEnd w:id="70"/>
      <w:r>
        <w:rPr>
          <w:u w:val="single"/>
        </w:rPr>
        <w:t xml:space="preserve"> </w:t>
      </w:r>
      <w:bookmarkStart w:id="71" w:name="4.20"/>
      <w:r>
        <w:rPr>
          <w:u w:val="single"/>
        </w:rPr>
        <w:t>substance use disorder treatment provider or other authorized</w:t>
      </w:r>
      <w:bookmarkEnd w:id="71"/>
      <w:r>
        <w:rPr>
          <w:u w:val="single"/>
        </w:rPr>
        <w:t xml:space="preserve"> </w:t>
      </w:r>
      <w:bookmarkStart w:id="72" w:name="4.21"/>
      <w:r>
        <w:rPr>
          <w:u w:val="single"/>
        </w:rPr>
        <w:t>person who has personally observed conduct showing the need</w:t>
      </w:r>
      <w:bookmarkEnd w:id="72"/>
      <w:r>
        <w:rPr>
          <w:u w:val="single"/>
        </w:rPr>
        <w:t xml:space="preserve"> </w:t>
      </w:r>
      <w:bookmarkStart w:id="73" w:name="4.22"/>
      <w:r>
        <w:rPr>
          <w:u w:val="single"/>
        </w:rPr>
        <w:t>for the examination.</w:t>
      </w:r>
      <w:bookmarkEnd w:id="73"/>
    </w:p>
    <w:p w14:paraId="47143005" w14:textId="64A9A562" w:rsidR="00733A95" w:rsidRDefault="001744C5">
      <w:pPr>
        <w:pStyle w:val="Textbody"/>
        <w:spacing w:after="0" w:line="465" w:lineRule="exact"/>
        <w:ind w:firstLine="436"/>
        <w:rPr>
          <w:u w:val="single"/>
        </w:rPr>
      </w:pPr>
      <w:bookmarkStart w:id="74" w:name="6.01"/>
      <w:r>
        <w:rPr>
          <w:u w:val="single"/>
        </w:rPr>
        <w:t>(</w:t>
      </w:r>
      <w:r w:rsidR="00235F34">
        <w:rPr>
          <w:u w:val="single"/>
        </w:rPr>
        <w:t>b</w:t>
      </w:r>
      <w:r>
        <w:rPr>
          <w:u w:val="single"/>
        </w:rPr>
        <w:t xml:space="preserve">) </w:t>
      </w:r>
      <w:r>
        <w:rPr>
          <w:u w:val="single"/>
        </w:rPr>
        <w:t xml:space="preserve"> Notification of rights at emergency </w:t>
      </w:r>
      <w:proofErr w:type="gramStart"/>
      <w:r>
        <w:rPr>
          <w:u w:val="single"/>
        </w:rPr>
        <w:t>examination.--</w:t>
      </w:r>
      <w:proofErr w:type="gramEnd"/>
      <w:r>
        <w:rPr>
          <w:u w:val="single"/>
        </w:rPr>
        <w:t>Upon</w:t>
      </w:r>
      <w:bookmarkEnd w:id="74"/>
      <w:r>
        <w:rPr>
          <w:u w:val="single"/>
        </w:rPr>
        <w:t xml:space="preserve"> </w:t>
      </w:r>
      <w:bookmarkStart w:id="75" w:name="6.02"/>
      <w:r>
        <w:rPr>
          <w:u w:val="single"/>
        </w:rPr>
        <w:t>arrival at the facility, the person shall be informed of the</w:t>
      </w:r>
      <w:bookmarkEnd w:id="75"/>
      <w:r>
        <w:rPr>
          <w:u w:val="single"/>
        </w:rPr>
        <w:t xml:space="preserve"> </w:t>
      </w:r>
      <w:bookmarkStart w:id="76" w:name="6.03"/>
      <w:r>
        <w:rPr>
          <w:u w:val="single"/>
        </w:rPr>
        <w:t>reasons for emergency examination and of the right to</w:t>
      </w:r>
      <w:bookmarkEnd w:id="76"/>
      <w:r>
        <w:rPr>
          <w:u w:val="single"/>
        </w:rPr>
        <w:t xml:space="preserve"> </w:t>
      </w:r>
      <w:bookmarkStart w:id="77" w:name="6.04"/>
      <w:r>
        <w:rPr>
          <w:u w:val="single"/>
        </w:rPr>
        <w:t>communicate immediately with others. The person shall be given</w:t>
      </w:r>
      <w:bookmarkEnd w:id="77"/>
      <w:r>
        <w:rPr>
          <w:u w:val="single"/>
        </w:rPr>
        <w:t xml:space="preserve"> </w:t>
      </w:r>
      <w:bookmarkStart w:id="78" w:name="6.05"/>
      <w:r>
        <w:rPr>
          <w:u w:val="single"/>
        </w:rPr>
        <w:t>reasonable use of the telephone. The person shall be requested</w:t>
      </w:r>
      <w:bookmarkEnd w:id="78"/>
      <w:r>
        <w:rPr>
          <w:u w:val="single"/>
        </w:rPr>
        <w:t xml:space="preserve"> </w:t>
      </w:r>
      <w:bookmarkStart w:id="79" w:name="6.06"/>
      <w:r>
        <w:rPr>
          <w:u w:val="single"/>
        </w:rPr>
        <w:t>to furnish the names of parties whom the person may want</w:t>
      </w:r>
      <w:bookmarkEnd w:id="79"/>
      <w:r>
        <w:rPr>
          <w:u w:val="single"/>
        </w:rPr>
        <w:t xml:space="preserve"> </w:t>
      </w:r>
      <w:bookmarkStart w:id="80" w:name="6.07"/>
      <w:r>
        <w:rPr>
          <w:u w:val="single"/>
        </w:rPr>
        <w:t>notified of the persons custody and kept informed of the status.</w:t>
      </w:r>
      <w:bookmarkEnd w:id="80"/>
      <w:r>
        <w:rPr>
          <w:u w:val="single"/>
        </w:rPr>
        <w:t xml:space="preserve"> </w:t>
      </w:r>
      <w:bookmarkStart w:id="81" w:name="6.08"/>
      <w:r>
        <w:rPr>
          <w:u w:val="single"/>
        </w:rPr>
        <w:t>The county administrator or the director of the facility shall</w:t>
      </w:r>
      <w:bookmarkEnd w:id="81"/>
      <w:r>
        <w:rPr>
          <w:u w:val="single"/>
        </w:rPr>
        <w:t xml:space="preserve"> </w:t>
      </w:r>
      <w:bookmarkStart w:id="82" w:name="6.09"/>
      <w:r>
        <w:rPr>
          <w:u w:val="single"/>
        </w:rPr>
        <w:t>have the following duties:</w:t>
      </w:r>
      <w:bookmarkEnd w:id="82"/>
    </w:p>
    <w:p w14:paraId="6C83048F" w14:textId="77777777" w:rsidR="00733A95" w:rsidRDefault="001744C5">
      <w:pPr>
        <w:pStyle w:val="paragraph"/>
        <w:rPr>
          <w:u w:val="single"/>
        </w:rPr>
      </w:pPr>
      <w:bookmarkStart w:id="83" w:name="6.10"/>
      <w:r>
        <w:rPr>
          <w:u w:val="single"/>
        </w:rPr>
        <w:t>(1)  Give notice to the parties of the whereabouts and</w:t>
      </w:r>
      <w:bookmarkEnd w:id="83"/>
      <w:r>
        <w:rPr>
          <w:u w:val="single"/>
        </w:rPr>
        <w:t xml:space="preserve"> </w:t>
      </w:r>
      <w:bookmarkStart w:id="84" w:name="6.11"/>
      <w:r>
        <w:rPr>
          <w:u w:val="single"/>
        </w:rPr>
        <w:t>status of the person, how and when the person may be</w:t>
      </w:r>
      <w:bookmarkEnd w:id="84"/>
      <w:r>
        <w:rPr>
          <w:u w:val="single"/>
        </w:rPr>
        <w:t xml:space="preserve"> </w:t>
      </w:r>
      <w:bookmarkStart w:id="85" w:name="6.12"/>
      <w:r>
        <w:rPr>
          <w:u w:val="single"/>
        </w:rPr>
        <w:t>contacted and visited and how they may obtain information</w:t>
      </w:r>
      <w:bookmarkEnd w:id="85"/>
      <w:r>
        <w:rPr>
          <w:u w:val="single"/>
        </w:rPr>
        <w:t xml:space="preserve"> </w:t>
      </w:r>
      <w:bookmarkStart w:id="86" w:name="6.13"/>
      <w:r>
        <w:rPr>
          <w:u w:val="single"/>
        </w:rPr>
        <w:t>concerning the person while in inpatient treatment.</w:t>
      </w:r>
      <w:bookmarkEnd w:id="86"/>
    </w:p>
    <w:p w14:paraId="7952CC7E" w14:textId="77777777" w:rsidR="00733A95" w:rsidRDefault="001744C5">
      <w:pPr>
        <w:pStyle w:val="paragraph"/>
        <w:rPr>
          <w:u w:val="single"/>
        </w:rPr>
      </w:pPr>
      <w:bookmarkStart w:id="87" w:name="6.14"/>
      <w:r>
        <w:rPr>
          <w:u w:val="single"/>
        </w:rPr>
        <w:t>(2)  Take reasonable steps to ensure that while the</w:t>
      </w:r>
      <w:bookmarkEnd w:id="87"/>
      <w:r>
        <w:rPr>
          <w:u w:val="single"/>
        </w:rPr>
        <w:t xml:space="preserve"> </w:t>
      </w:r>
      <w:bookmarkStart w:id="88" w:name="6.15"/>
      <w:r>
        <w:rPr>
          <w:u w:val="single"/>
        </w:rPr>
        <w:t>person is detained, the health and safety needs of any of the</w:t>
      </w:r>
      <w:bookmarkEnd w:id="88"/>
      <w:r>
        <w:rPr>
          <w:u w:val="single"/>
        </w:rPr>
        <w:t xml:space="preserve"> </w:t>
      </w:r>
      <w:bookmarkStart w:id="89" w:name="6.16"/>
      <w:r>
        <w:rPr>
          <w:u w:val="single"/>
        </w:rPr>
        <w:lastRenderedPageBreak/>
        <w:t>person's dependents are met and personal property and the</w:t>
      </w:r>
      <w:bookmarkEnd w:id="89"/>
      <w:r>
        <w:rPr>
          <w:u w:val="single"/>
        </w:rPr>
        <w:t xml:space="preserve"> </w:t>
      </w:r>
      <w:bookmarkStart w:id="90" w:name="6.17"/>
      <w:r>
        <w:rPr>
          <w:u w:val="single"/>
        </w:rPr>
        <w:t>premises the person occupies are secure.</w:t>
      </w:r>
      <w:bookmarkEnd w:id="90"/>
    </w:p>
    <w:p w14:paraId="519019B6" w14:textId="4C4E3B97" w:rsidR="00733A95" w:rsidRDefault="001744C5" w:rsidP="00235F34">
      <w:pPr>
        <w:pStyle w:val="Textbody"/>
        <w:spacing w:after="0" w:line="465" w:lineRule="exact"/>
        <w:ind w:firstLine="436"/>
        <w:rPr>
          <w:u w:val="single"/>
        </w:rPr>
      </w:pPr>
      <w:bookmarkStart w:id="91" w:name="6.18"/>
      <w:r>
        <w:rPr>
          <w:u w:val="single"/>
        </w:rPr>
        <w:t>(</w:t>
      </w:r>
      <w:r w:rsidR="00235F34">
        <w:rPr>
          <w:u w:val="single"/>
        </w:rPr>
        <w:t>c</w:t>
      </w:r>
      <w:r>
        <w:rPr>
          <w:u w:val="single"/>
        </w:rPr>
        <w:t xml:space="preserve">)  Duration of emergency examination and </w:t>
      </w:r>
      <w:proofErr w:type="gramStart"/>
      <w:r>
        <w:rPr>
          <w:u w:val="single"/>
        </w:rPr>
        <w:t>treatment.--</w:t>
      </w:r>
      <w:proofErr w:type="gramEnd"/>
      <w:r>
        <w:rPr>
          <w:u w:val="single"/>
        </w:rPr>
        <w:t>A</w:t>
      </w:r>
      <w:bookmarkEnd w:id="91"/>
      <w:r>
        <w:rPr>
          <w:u w:val="single"/>
        </w:rPr>
        <w:t xml:space="preserve"> </w:t>
      </w:r>
      <w:bookmarkStart w:id="92" w:name="6.19"/>
      <w:r>
        <w:rPr>
          <w:u w:val="single"/>
        </w:rPr>
        <w:t>person who is in treatment under this section shall be</w:t>
      </w:r>
      <w:bookmarkEnd w:id="92"/>
      <w:r>
        <w:rPr>
          <w:u w:val="single"/>
        </w:rPr>
        <w:t xml:space="preserve"> </w:t>
      </w:r>
      <w:bookmarkStart w:id="93" w:name="6.20"/>
      <w:r>
        <w:rPr>
          <w:u w:val="single"/>
        </w:rPr>
        <w:t>discharged whenever it is determined that the person no longer</w:t>
      </w:r>
      <w:bookmarkEnd w:id="93"/>
      <w:r>
        <w:rPr>
          <w:u w:val="single"/>
        </w:rPr>
        <w:t xml:space="preserve"> </w:t>
      </w:r>
      <w:bookmarkStart w:id="94" w:name="6.21"/>
      <w:r>
        <w:rPr>
          <w:u w:val="single"/>
        </w:rPr>
        <w:t>is in need of treatment and in any event within 120 hours</w:t>
      </w:r>
      <w:bookmarkEnd w:id="94"/>
    </w:p>
    <w:p w14:paraId="60DAC0BA" w14:textId="77777777" w:rsidR="00733A95" w:rsidRDefault="001744C5">
      <w:pPr>
        <w:pStyle w:val="section"/>
      </w:pPr>
      <w:bookmarkStart w:id="95" w:name="25.08"/>
      <w:r>
        <w:t>Section 2.  This act shall take effect in 60 days.</w:t>
      </w:r>
      <w:bookmarkEnd w:id="95"/>
    </w:p>
    <w:sectPr w:rsidR="00733A95">
      <w:type w:val="continuous"/>
      <w:pgSz w:w="12240" w:h="15840"/>
      <w:pgMar w:top="567" w:right="1474" w:bottom="1609" w:left="1474" w:header="720" w:footer="992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E4EA" w14:textId="77777777" w:rsidR="001744C5" w:rsidRDefault="001744C5">
      <w:r>
        <w:separator/>
      </w:r>
    </w:p>
  </w:endnote>
  <w:endnote w:type="continuationSeparator" w:id="0">
    <w:p w14:paraId="4807AB4E" w14:textId="77777777" w:rsidR="001744C5" w:rsidRDefault="0017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1612" w14:textId="77777777" w:rsidR="001744C5" w:rsidRDefault="001744C5">
      <w:r>
        <w:rPr>
          <w:color w:val="000000"/>
        </w:rPr>
        <w:separator/>
      </w:r>
    </w:p>
  </w:footnote>
  <w:footnote w:type="continuationSeparator" w:id="0">
    <w:p w14:paraId="775908CE" w14:textId="77777777" w:rsidR="001744C5" w:rsidRDefault="00174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3A95"/>
    <w:rsid w:val="001744C5"/>
    <w:rsid w:val="00235F34"/>
    <w:rsid w:val="0073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C274"/>
  <w15:docId w15:val="{F438EB81-384E-406F-A48C-58C9E7AF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Arial Unicode MS" w:hAnsi="Courier New" w:cs="Courier New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ngtitle">
    <w:name w:val="longtitle"/>
    <w:basedOn w:val="Standard"/>
    <w:pPr>
      <w:suppressLineNumbers/>
      <w:spacing w:line="232" w:lineRule="exact"/>
      <w:ind w:left="437" w:hanging="437"/>
    </w:pPr>
  </w:style>
  <w:style w:type="paragraph" w:customStyle="1" w:styleId="section">
    <w:name w:val="section"/>
    <w:basedOn w:val="Standard"/>
    <w:pPr>
      <w:suppressLineNumbers/>
      <w:spacing w:line="461" w:lineRule="exact"/>
      <w:ind w:firstLine="437"/>
    </w:pPr>
  </w:style>
  <w:style w:type="paragraph" w:styleId="Footer">
    <w:name w:val="footer"/>
    <w:basedOn w:val="Standard"/>
    <w:pPr>
      <w:suppressLineNumbers/>
      <w:tabs>
        <w:tab w:val="center" w:pos="4617"/>
        <w:tab w:val="right" w:pos="9235"/>
      </w:tabs>
      <w:spacing w:line="232" w:lineRule="exact"/>
      <w:ind w:hanging="567"/>
    </w:pPr>
  </w:style>
  <w:style w:type="paragraph" w:customStyle="1" w:styleId="anact">
    <w:name w:val="anact"/>
    <w:basedOn w:val="Standard"/>
    <w:pPr>
      <w:suppressLineNumbers/>
      <w:spacing w:line="232" w:lineRule="exact"/>
      <w:jc w:val="center"/>
    </w:pPr>
  </w:style>
  <w:style w:type="paragraph" w:customStyle="1" w:styleId="resolvedclause">
    <w:name w:val="resolved_clause"/>
    <w:pPr>
      <w:suppressLineNumbers/>
      <w:snapToGrid w:val="0"/>
      <w:spacing w:line="465" w:lineRule="exact"/>
      <w:ind w:firstLine="437"/>
      <w:textAlignment w:val="auto"/>
    </w:pPr>
    <w:rPr>
      <w:rFonts w:cs="Tahoma"/>
      <w:lang/>
      <w:eastAsianLayout/>
    </w:rPr>
  </w:style>
  <w:style w:type="paragraph" w:customStyle="1" w:styleId="sectionheading">
    <w:name w:val="section_heading"/>
    <w:pPr>
      <w:suppressLineNumbers/>
      <w:snapToGrid w:val="0"/>
      <w:spacing w:line="465" w:lineRule="exact"/>
      <w:ind w:left="1593" w:hanging="1593"/>
      <w:textAlignment w:val="auto"/>
    </w:pPr>
    <w:rPr>
      <w:rFonts w:cs="Tahoma"/>
      <w:lang/>
      <w:eastAsianLayout/>
    </w:rPr>
  </w:style>
  <w:style w:type="paragraph" w:customStyle="1" w:styleId="enacts">
    <w:name w:val="enacts"/>
    <w:pPr>
      <w:suppressLineNumbers/>
      <w:snapToGrid w:val="0"/>
      <w:spacing w:line="465" w:lineRule="exact"/>
      <w:ind w:firstLine="432"/>
      <w:textAlignment w:val="auto"/>
    </w:pPr>
    <w:rPr>
      <w:rFonts w:cs="Tahoma"/>
      <w:lang/>
      <w:eastAsianLayout/>
    </w:rPr>
  </w:style>
  <w:style w:type="paragraph" w:customStyle="1" w:styleId="preamble">
    <w:name w:val="preamble"/>
    <w:pPr>
      <w:suppressLineNumbers/>
      <w:snapToGrid w:val="0"/>
      <w:spacing w:line="465" w:lineRule="exact"/>
      <w:ind w:firstLine="437"/>
      <w:textAlignment w:val="auto"/>
    </w:pPr>
    <w:rPr>
      <w:rFonts w:cs="Tahoma"/>
      <w:lang/>
      <w:eastAsianLayout/>
    </w:rPr>
  </w:style>
  <w:style w:type="paragraph" w:customStyle="1" w:styleId="effectivedate">
    <w:name w:val="effectivedate"/>
    <w:pPr>
      <w:suppressLineNumbers/>
      <w:snapToGrid w:val="0"/>
      <w:spacing w:line="465" w:lineRule="exact"/>
      <w:ind w:firstLine="437"/>
      <w:textAlignment w:val="auto"/>
    </w:pPr>
    <w:rPr>
      <w:rFonts w:cs="Tahoma"/>
      <w:lang/>
      <w:eastAsianLayout/>
    </w:rPr>
  </w:style>
  <w:style w:type="paragraph" w:customStyle="1" w:styleId="session">
    <w:name w:val="session"/>
    <w:pPr>
      <w:suppressLineNumbers/>
      <w:snapToGrid w:val="0"/>
      <w:jc w:val="center"/>
      <w:textAlignment w:val="auto"/>
    </w:pPr>
    <w:rPr>
      <w:rFonts w:ascii="Arial" w:hAnsi="Arial" w:cs="Tahoma"/>
      <w:sz w:val="28"/>
      <w:lang/>
      <w:eastAsianLayout/>
    </w:rPr>
  </w:style>
  <w:style w:type="paragraph" w:customStyle="1" w:styleId="subsection">
    <w:name w:val="subsection"/>
    <w:pPr>
      <w:suppressLineNumbers/>
      <w:snapToGrid w:val="0"/>
      <w:spacing w:line="465" w:lineRule="exact"/>
      <w:ind w:firstLine="437"/>
      <w:textAlignment w:val="auto"/>
    </w:pPr>
    <w:rPr>
      <w:rFonts w:cs="Tahoma"/>
      <w:lang/>
      <w:eastAsianLayout/>
    </w:rPr>
  </w:style>
  <w:style w:type="paragraph" w:customStyle="1" w:styleId="paragraph">
    <w:name w:val="paragraph"/>
    <w:pPr>
      <w:suppressLineNumbers/>
      <w:snapToGrid w:val="0"/>
      <w:spacing w:line="465" w:lineRule="exact"/>
      <w:ind w:left="437" w:firstLine="578"/>
      <w:textAlignment w:val="auto"/>
    </w:pPr>
    <w:rPr>
      <w:rFonts w:cs="Tahoma"/>
      <w:lang/>
      <w:eastAsianLayout/>
    </w:rPr>
  </w:style>
  <w:style w:type="paragraph" w:customStyle="1" w:styleId="subparagraph">
    <w:name w:val="subparagraph"/>
    <w:pPr>
      <w:suppressLineNumbers/>
      <w:snapToGrid w:val="0"/>
      <w:spacing w:line="465" w:lineRule="exact"/>
      <w:ind w:left="1015" w:firstLine="578"/>
      <w:textAlignment w:val="auto"/>
    </w:pPr>
    <w:rPr>
      <w:rFonts w:cs="Tahoma"/>
      <w:lang/>
      <w:eastAsianLayout/>
    </w:rPr>
  </w:style>
  <w:style w:type="paragraph" w:customStyle="1" w:styleId="clause">
    <w:name w:val="clause"/>
    <w:pPr>
      <w:suppressLineNumbers/>
      <w:snapToGrid w:val="0"/>
      <w:spacing w:line="465" w:lineRule="exact"/>
      <w:ind w:left="1593" w:firstLine="578"/>
      <w:textAlignment w:val="auto"/>
    </w:pPr>
    <w:rPr>
      <w:rFonts w:cs="Tahoma"/>
      <w:lang/>
      <w:eastAsianLayout/>
    </w:rPr>
  </w:style>
  <w:style w:type="paragraph" w:customStyle="1" w:styleId="subclause">
    <w:name w:val="subclause"/>
    <w:pPr>
      <w:suppressLineNumbers/>
      <w:snapToGrid w:val="0"/>
      <w:spacing w:line="465" w:lineRule="exact"/>
      <w:ind w:left="2171" w:firstLine="578"/>
      <w:textAlignment w:val="auto"/>
    </w:pPr>
    <w:rPr>
      <w:rFonts w:cs="Tahoma"/>
      <w:lang/>
      <w:eastAsianLayout/>
    </w:rPr>
  </w:style>
  <w:style w:type="paragraph" w:customStyle="1" w:styleId="chapter">
    <w:name w:val="chapter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part">
    <w:name w:val="part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subpart">
    <w:name w:val="subpart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article">
    <w:name w:val="article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division">
    <w:name w:val="division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subdivision">
    <w:name w:val="subdivision"/>
    <w:pPr>
      <w:suppressLineNumbers/>
      <w:snapToGrid w:val="0"/>
      <w:spacing w:line="465" w:lineRule="exact"/>
      <w:textAlignment w:val="auto"/>
    </w:pPr>
    <w:rPr>
      <w:rFonts w:cs="Tahoma"/>
      <w:lang/>
      <w:eastAsianLayout/>
    </w:rPr>
  </w:style>
  <w:style w:type="paragraph" w:customStyle="1" w:styleId="subchapter">
    <w:name w:val="subchapter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whereasclause">
    <w:name w:val="whereas_clause"/>
    <w:pPr>
      <w:suppressLineNumbers/>
      <w:snapToGrid w:val="0"/>
      <w:spacing w:line="465" w:lineRule="exact"/>
      <w:ind w:firstLine="437"/>
      <w:textAlignment w:val="auto"/>
    </w:pPr>
    <w:rPr>
      <w:rFonts w:cs="Tahoma"/>
      <w:lang/>
      <w:eastAsianLayout/>
    </w:rPr>
  </w:style>
  <w:style w:type="paragraph" w:customStyle="1" w:styleId="unit">
    <w:name w:val="unit"/>
    <w:pPr>
      <w:suppressLineNumbers/>
      <w:snapToGrid w:val="0"/>
      <w:spacing w:line="465" w:lineRule="exact"/>
      <w:ind w:left="2749" w:firstLine="578"/>
      <w:textAlignment w:val="auto"/>
    </w:pPr>
    <w:rPr>
      <w:rFonts w:cs="Tahoma"/>
      <w:lang/>
      <w:eastAsianLayout/>
    </w:rPr>
  </w:style>
  <w:style w:type="paragraph" w:customStyle="1" w:styleId="tableparagraph">
    <w:name w:val="table_paragraph"/>
    <w:pPr>
      <w:suppressLineNumbers/>
      <w:tabs>
        <w:tab w:val="left" w:pos="1423"/>
      </w:tabs>
      <w:snapToGrid w:val="0"/>
      <w:spacing w:line="465" w:lineRule="exact"/>
      <w:ind w:left="1569" w:hanging="557"/>
      <w:textAlignment w:val="auto"/>
    </w:pPr>
    <w:rPr>
      <w:rFonts w:cs="Tahoma"/>
      <w:lang/>
      <w:eastAsianLayout/>
    </w:rPr>
  </w:style>
  <w:style w:type="paragraph" w:customStyle="1" w:styleId="tablesection">
    <w:name w:val="table_section"/>
    <w:pPr>
      <w:suppressLineNumbers/>
      <w:snapToGrid w:val="0"/>
      <w:spacing w:line="465" w:lineRule="exact"/>
      <w:ind w:left="437" w:hanging="437"/>
      <w:textAlignment w:val="auto"/>
    </w:pPr>
    <w:rPr>
      <w:rFonts w:cs="Tahoma"/>
      <w:lang/>
      <w:eastAsianLayout/>
    </w:rPr>
  </w:style>
  <w:style w:type="paragraph" w:customStyle="1" w:styleId="tablesubparagraph">
    <w:name w:val="table_subparagraph"/>
    <w:pPr>
      <w:suppressLineNumbers/>
      <w:snapToGrid w:val="0"/>
      <w:spacing w:line="465" w:lineRule="exact"/>
      <w:ind w:left="2023" w:hanging="471"/>
      <w:textAlignment w:val="auto"/>
    </w:pPr>
    <w:rPr>
      <w:rFonts w:cs="Tahoma"/>
      <w:lang/>
      <w:eastAsianLayout/>
    </w:rPr>
  </w:style>
  <w:style w:type="paragraph" w:customStyle="1" w:styleId="tablesubclause">
    <w:name w:val="table_subclause"/>
    <w:pPr>
      <w:suppressLineNumbers/>
      <w:snapToGrid w:val="0"/>
      <w:spacing w:line="465" w:lineRule="exact"/>
      <w:ind w:left="3326" w:hanging="720"/>
      <w:textAlignment w:val="auto"/>
    </w:pPr>
    <w:rPr>
      <w:rFonts w:cs="Tahoma"/>
      <w:lang/>
      <w:eastAsianLayout/>
    </w:rPr>
  </w:style>
  <w:style w:type="paragraph" w:customStyle="1" w:styleId="tablesubsection">
    <w:name w:val="table_subsection"/>
    <w:pPr>
      <w:suppressLineNumbers/>
      <w:snapToGrid w:val="0"/>
      <w:spacing w:line="465" w:lineRule="exact"/>
      <w:ind w:left="1011" w:hanging="574"/>
      <w:textAlignment w:val="auto"/>
    </w:pPr>
    <w:rPr>
      <w:rFonts w:cs="Tahoma"/>
      <w:lang/>
      <w:eastAsianLayout/>
    </w:rPr>
  </w:style>
  <w:style w:type="paragraph" w:customStyle="1" w:styleId="tableclause">
    <w:name w:val="table_clause"/>
    <w:pPr>
      <w:suppressLineNumbers/>
      <w:tabs>
        <w:tab w:val="left" w:pos="3052"/>
      </w:tabs>
      <w:snapToGrid w:val="0"/>
      <w:spacing w:line="465" w:lineRule="exact"/>
      <w:ind w:left="2606" w:hanging="591"/>
      <w:textAlignment w:val="auto"/>
    </w:pPr>
    <w:rPr>
      <w:rFonts w:cs="Tahoma"/>
      <w:lang/>
      <w:eastAsianLayout/>
    </w:rPr>
  </w:style>
  <w:style w:type="paragraph" w:customStyle="1" w:styleId="statute">
    <w:name w:val="statute"/>
    <w:basedOn w:val="Standard"/>
    <w:pPr>
      <w:suppressLineNumbers/>
      <w:ind w:firstLine="437"/>
    </w:pPr>
  </w:style>
  <w:style w:type="paragraph" w:customStyle="1" w:styleId="statutesection">
    <w:name w:val="statute_section"/>
    <w:basedOn w:val="statute"/>
  </w:style>
  <w:style w:type="paragraph" w:customStyle="1" w:styleId="HorizontalLine">
    <w:name w:val="Horizontal Line"/>
    <w:basedOn w:val="Standard"/>
    <w:pPr>
      <w:suppressLineNumbers/>
      <w:ind w:left="-340" w:right="-794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617"/>
        <w:tab w:val="right" w:pos="9235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615"/>
        <w:tab w:val="center" w:pos="4649"/>
        <w:tab w:val="right" w:pos="9235"/>
      </w:tabs>
      <w:ind w:hanging="567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nenumbering">
    <w:name w:val="Line numbering"/>
  </w:style>
  <w:style w:type="character" w:customStyle="1" w:styleId="MT1">
    <w:name w:val="MT1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A616BA46D04FA21A1D1F7C0C1816" ma:contentTypeVersion="18" ma:contentTypeDescription="Create a new document." ma:contentTypeScope="" ma:versionID="8bc3c8e98ed0ea2369a59ffa46fec57f">
  <xsd:schema xmlns:xsd="http://www.w3.org/2001/XMLSchema" xmlns:xs="http://www.w3.org/2001/XMLSchema" xmlns:p="http://schemas.microsoft.com/office/2006/metadata/properties" xmlns:ns1="http://schemas.microsoft.com/sharepoint/v3" xmlns:ns2="27b52bf8-656f-4465-8ef2-f07cbb1c9723" xmlns:ns3="25b86bc2-2453-4f17-8b24-e6d85fe03bca" targetNamespace="http://schemas.microsoft.com/office/2006/metadata/properties" ma:root="true" ma:fieldsID="06d7b5f508c2db0f16b20768cf9d5a2e" ns1:_="" ns2:_="" ns3:_="">
    <xsd:import namespace="http://schemas.microsoft.com/sharepoint/v3"/>
    <xsd:import namespace="27b52bf8-656f-4465-8ef2-f07cbb1c9723"/>
    <xsd:import namespace="25b86bc2-2453-4f17-8b24-e6d85fe03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2bf8-656f-4465-8ef2-f07cbb1c9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c64dd7-bb05-441d-bb5a-3545560a0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6bc2-2453-4f17-8b24-e6d85fe03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9b27067-afb0-4c2a-b4ab-67628159eecd}" ma:internalName="TaxCatchAll" ma:showField="CatchAllData" ma:web="25b86bc2-2453-4f17-8b24-e6d85fe03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5b86bc2-2453-4f17-8b24-e6d85fe03bca" xsi:nil="true"/>
    <_ip_UnifiedCompliancePolicyProperties xmlns="http://schemas.microsoft.com/sharepoint/v3" xsi:nil="true"/>
    <lcf76f155ced4ddcb4097134ff3c332f xmlns="27b52bf8-656f-4465-8ef2-f07cbb1c97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62BB1E-A93E-4BF4-8584-34E140755927}"/>
</file>

<file path=customXml/itemProps2.xml><?xml version="1.0" encoding="utf-8"?>
<ds:datastoreItem xmlns:ds="http://schemas.openxmlformats.org/officeDocument/2006/customXml" ds:itemID="{C15889D6-B700-4860-934A-749BCB7BAF72}"/>
</file>

<file path=customXml/itemProps3.xml><?xml version="1.0" encoding="utf-8"?>
<ds:datastoreItem xmlns:ds="http://schemas.openxmlformats.org/officeDocument/2006/customXml" ds:itemID="{B6898999-4832-4068-8FB5-9C2835611C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Binner, Fallon</dc:creator>
  <cp:lastModifiedBy>Binner, Fallon</cp:lastModifiedBy>
  <cp:revision>2</cp:revision>
  <dcterms:created xsi:type="dcterms:W3CDTF">2024-10-21T20:53:00Z</dcterms:created>
  <dcterms:modified xsi:type="dcterms:W3CDTF">2024-10-21T20:53:00Z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lBody">
    <vt:lpwstr>S</vt:lpwstr>
  </property>
  <property fmtid="{D5CDD505-2E9C-101B-9397-08002B2CF9AE}" pid="3" name="BillNumber">
    <vt:lpwstr>0962</vt:lpwstr>
  </property>
  <property fmtid="{D5CDD505-2E9C-101B-9397-08002B2CF9AE}" pid="4" name="BillType">
    <vt:lpwstr>B</vt:lpwstr>
  </property>
  <property fmtid="{D5CDD505-2E9C-101B-9397-08002B2CF9AE}" pid="5" name="MetaTitle">
    <vt:lpwstr>Regular Session 2023-2024 Senate Bill 962 P.N 1172</vt:lpwstr>
  </property>
  <property fmtid="{D5CDD505-2E9C-101B-9397-08002B2CF9AE}" pid="6" name="PrintersNumber">
    <vt:lpwstr>1172</vt:lpwstr>
  </property>
  <property fmtid="{D5CDD505-2E9C-101B-9397-08002B2CF9AE}" pid="7" name="SessionIndicator">
    <vt:lpwstr>0</vt:lpwstr>
  </property>
  <property fmtid="{D5CDD505-2E9C-101B-9397-08002B2CF9AE}" pid="8" name="SessionText">
    <vt:lpwstr>Regular Session 2023-2024</vt:lpwstr>
  </property>
  <property fmtid="{D5CDD505-2E9C-101B-9397-08002B2CF9AE}" pid="9" name="SessionYear">
    <vt:lpwstr>2023</vt:lpwstr>
  </property>
  <property fmtid="{D5CDD505-2E9C-101B-9397-08002B2CF9AE}" pid="10" name="ContentTypeId">
    <vt:lpwstr>0x0101007F92A616BA46D04FA21A1D1F7C0C1816</vt:lpwstr>
  </property>
</Properties>
</file>