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5624" w14:textId="77777777" w:rsidR="008E7942" w:rsidRDefault="008E7942">
      <w:pPr>
        <w:pStyle w:val="Standard"/>
      </w:pPr>
    </w:p>
    <w:p w14:paraId="16064FBD" w14:textId="77777777" w:rsidR="006D54D6" w:rsidRDefault="006D54D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0B2DC308" w14:textId="0656FF07" w:rsidR="008E7942" w:rsidRDefault="008E7942">
      <w:pPr>
        <w:pStyle w:val="Standard"/>
        <w:suppressLineNumbers/>
        <w:spacing w:line="232" w:lineRule="exact"/>
        <w:jc w:val="center"/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6"/>
        <w:gridCol w:w="3809"/>
      </w:tblGrid>
      <w:tr w:rsidR="008E7942" w14:paraId="7458887B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CB51" w14:textId="77777777" w:rsidR="008E7942" w:rsidRDefault="006D54D6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D239" w14:textId="77777777" w:rsidR="008E7942" w:rsidRDefault="006D54D6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818</w:t>
            </w:r>
            <w:bookmarkEnd w:id="2"/>
          </w:p>
        </w:tc>
      </w:tr>
    </w:tbl>
    <w:p w14:paraId="0378C43C" w14:textId="77777777" w:rsidR="008E7942" w:rsidRDefault="008E7942">
      <w:pPr>
        <w:pStyle w:val="Standard"/>
        <w:suppressLineNumbers/>
        <w:spacing w:line="230" w:lineRule="exact"/>
      </w:pPr>
    </w:p>
    <w:p w14:paraId="4B0CD47D" w14:textId="77777777" w:rsidR="008E7942" w:rsidRDefault="006D54D6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46409D12" w14:textId="77777777" w:rsidR="008E7942" w:rsidRDefault="008E7942">
      <w:pPr>
        <w:pStyle w:val="HorizontalLine"/>
        <w:ind w:left="2837" w:right="3182"/>
      </w:pPr>
    </w:p>
    <w:p w14:paraId="37D69754" w14:textId="77777777" w:rsidR="008E7942" w:rsidRDefault="006D54D6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 xml:space="preserve">SENATE </w:t>
      </w:r>
      <w:bookmarkStart w:id="4" w:name="T_DocumentContents_S_MeasureType"/>
      <w:bookmarkEnd w:id="3"/>
      <w:r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2052"/>
        <w:gridCol w:w="1429"/>
      </w:tblGrid>
      <w:tr w:rsidR="008E7942" w14:paraId="28084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388C" w14:textId="77777777" w:rsidR="008E7942" w:rsidRDefault="006D54D6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3431" w14:textId="5282536F" w:rsidR="008E7942" w:rsidRDefault="006D54D6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bookmarkStart w:id="5" w:name="T_DocumentContents_S_MeasureNum"/>
            <w:r>
              <w:rPr>
                <w:rFonts w:ascii="Arial" w:hAnsi="Arial"/>
                <w:sz w:val="72"/>
              </w:rPr>
              <w:t>7</w:t>
            </w:r>
            <w:bookmarkEnd w:id="5"/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13C5" w14:textId="77777777" w:rsidR="008E7942" w:rsidRDefault="006D54D6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6"/>
          </w:p>
          <w:p w14:paraId="2D94297C" w14:textId="45460FD4" w:rsidR="008E7942" w:rsidRDefault="006D54D6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7" w:name="T_DocumentContents_S_SessionYear"/>
            <w:r>
              <w:rPr>
                <w:rFonts w:ascii="Arial" w:hAnsi="Arial"/>
                <w:sz w:val="28"/>
              </w:rPr>
              <w:t>202</w:t>
            </w:r>
            <w:bookmarkEnd w:id="7"/>
            <w:r w:rsidR="000E283D">
              <w:rPr>
                <w:rFonts w:ascii="Arial" w:hAnsi="Arial"/>
                <w:sz w:val="28"/>
              </w:rPr>
              <w:t>4</w:t>
            </w:r>
          </w:p>
        </w:tc>
      </w:tr>
    </w:tbl>
    <w:p w14:paraId="60A6F2BC" w14:textId="77777777" w:rsidR="008E7942" w:rsidRDefault="008E7942">
      <w:pPr>
        <w:pStyle w:val="Standard"/>
        <w:suppressLineNumbers/>
        <w:ind w:left="-346" w:right="-792"/>
        <w:rPr>
          <w:sz w:val="4"/>
          <w:szCs w:val="4"/>
        </w:rPr>
      </w:pPr>
    </w:p>
    <w:p w14:paraId="7FBAED5C" w14:textId="77777777" w:rsidR="008E7942" w:rsidRDefault="008E7942">
      <w:pPr>
        <w:pStyle w:val="Standard"/>
        <w:suppressLineNumbers/>
        <w:ind w:left="-346" w:right="-792"/>
        <w:rPr>
          <w:sz w:val="4"/>
          <w:szCs w:val="4"/>
        </w:rPr>
      </w:pPr>
    </w:p>
    <w:p w14:paraId="4130E52C" w14:textId="77777777" w:rsidR="008E7942" w:rsidRDefault="008E7942">
      <w:pPr>
        <w:pStyle w:val="Standard"/>
        <w:suppressLineNumbers/>
        <w:spacing w:line="232" w:lineRule="exact"/>
      </w:pPr>
    </w:p>
    <w:p w14:paraId="0BD4A17A" w14:textId="2BDA03C5" w:rsidR="008E7942" w:rsidRDefault="006D54D6">
      <w:pPr>
        <w:pStyle w:val="Standard"/>
        <w:suppressLineNumbers/>
        <w:spacing w:line="232" w:lineRule="exact"/>
        <w:ind w:left="437" w:hanging="437"/>
      </w:pPr>
      <w:bookmarkStart w:id="8" w:name="T_DocumentContents_S_IntroByText"/>
      <w:r>
        <w:t xml:space="preserve">INTRODUCED BY </w:t>
      </w:r>
      <w:bookmarkEnd w:id="8"/>
    </w:p>
    <w:p w14:paraId="77438CA6" w14:textId="77777777" w:rsidR="008E7942" w:rsidRDefault="008E7942">
      <w:pPr>
        <w:pStyle w:val="Standard"/>
        <w:suppressLineNumbers/>
        <w:ind w:left="-346" w:right="-792"/>
        <w:rPr>
          <w:sz w:val="4"/>
          <w:szCs w:val="4"/>
        </w:rPr>
      </w:pPr>
    </w:p>
    <w:p w14:paraId="7577B982" w14:textId="77777777" w:rsidR="008E7942" w:rsidRDefault="008E7942">
      <w:pPr>
        <w:pStyle w:val="Standard"/>
        <w:suppressLineNumbers/>
        <w:spacing w:line="232" w:lineRule="exact"/>
      </w:pPr>
    </w:p>
    <w:p w14:paraId="0D149E26" w14:textId="65CF688B" w:rsidR="008E7942" w:rsidRDefault="006D54D6">
      <w:pPr>
        <w:pStyle w:val="Standard"/>
        <w:suppressLineNumbers/>
        <w:spacing w:line="232" w:lineRule="exact"/>
        <w:ind w:left="437" w:hanging="437"/>
      </w:pPr>
      <w:bookmarkStart w:id="9" w:name="T_DocumentContents_S_MeasureStatus"/>
      <w:r>
        <w:t>REFERRED TO STATE GOVERNMENT</w:t>
      </w:r>
      <w:bookmarkEnd w:id="9"/>
    </w:p>
    <w:p w14:paraId="6B03DD43" w14:textId="77777777" w:rsidR="008E7942" w:rsidRDefault="008E7942">
      <w:pPr>
        <w:pStyle w:val="Standard"/>
        <w:suppressLineNumbers/>
        <w:ind w:left="-346" w:right="-792"/>
        <w:rPr>
          <w:sz w:val="4"/>
          <w:szCs w:val="4"/>
        </w:rPr>
      </w:pPr>
    </w:p>
    <w:p w14:paraId="0E4C3BCB" w14:textId="77777777" w:rsidR="008E7942" w:rsidRDefault="008E7942">
      <w:pPr>
        <w:pStyle w:val="Standard"/>
        <w:suppressLineNumbers/>
        <w:spacing w:line="232" w:lineRule="exact"/>
      </w:pPr>
    </w:p>
    <w:p w14:paraId="1D9E9651" w14:textId="77777777" w:rsidR="008E7942" w:rsidRDefault="008E7942">
      <w:pPr>
        <w:pStyle w:val="Standard"/>
        <w:suppressLineNumbers/>
        <w:spacing w:line="232" w:lineRule="exact"/>
      </w:pPr>
      <w:bookmarkStart w:id="10" w:name="T_DocumentContents_S_MeasureTitle"/>
      <w:bookmarkEnd w:id="10"/>
    </w:p>
    <w:p w14:paraId="67F96469" w14:textId="77777777" w:rsidR="006D54D6" w:rsidRDefault="006D54D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658DF8D1" w14:textId="77777777" w:rsidR="008E7942" w:rsidRDefault="006D54D6">
      <w:pPr>
        <w:pStyle w:val="anact"/>
      </w:pPr>
      <w:r>
        <w:t>A JOINT RESOLUTION</w:t>
      </w:r>
    </w:p>
    <w:p w14:paraId="128F609E" w14:textId="77777777" w:rsidR="006D54D6" w:rsidRDefault="006D54D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217A3616" w14:textId="77777777" w:rsidR="008E7942" w:rsidRDefault="008E7942">
      <w:pPr>
        <w:pStyle w:val="Standard"/>
        <w:suppressLineNumbers/>
        <w:spacing w:line="230" w:lineRule="exact"/>
      </w:pPr>
    </w:p>
    <w:p w14:paraId="6879B5AB" w14:textId="6D2EA1CB" w:rsidR="008E7942" w:rsidRDefault="006D54D6">
      <w:pPr>
        <w:pStyle w:val="longtitle"/>
      </w:pPr>
      <w:bookmarkStart w:id="11" w:name="bodyStart"/>
      <w:bookmarkStart w:id="12" w:name="1.01"/>
      <w:bookmarkEnd w:id="11"/>
      <w:r>
        <w:t xml:space="preserve">Proposing integrated amendments to the </w:t>
      </w:r>
      <w:r>
        <w:t>Constitution of the</w:t>
      </w:r>
      <w:bookmarkEnd w:id="12"/>
      <w:r>
        <w:t xml:space="preserve"> </w:t>
      </w:r>
      <w:bookmarkStart w:id="13" w:name="1.02"/>
      <w:r>
        <w:t>Commonwealth of Pennsylvania, further providing for election</w:t>
      </w:r>
      <w:bookmarkEnd w:id="13"/>
      <w:r>
        <w:t xml:space="preserve"> </w:t>
      </w:r>
      <w:bookmarkStart w:id="14" w:name="1.03"/>
      <w:r>
        <w:t>of justice</w:t>
      </w:r>
      <w:bookmarkStart w:id="15" w:name="1.04"/>
      <w:bookmarkEnd w:id="14"/>
      <w:r w:rsidR="000E283D">
        <w:t>s</w:t>
      </w:r>
      <w:r w:rsidR="00302348">
        <w:t xml:space="preserve">, </w:t>
      </w:r>
      <w:proofErr w:type="gramStart"/>
      <w:r w:rsidR="000E283D">
        <w:t>judges</w:t>
      </w:r>
      <w:proofErr w:type="gramEnd"/>
      <w:r w:rsidR="00302348">
        <w:t xml:space="preserve"> and justices of the peace</w:t>
      </w:r>
      <w:r>
        <w:t>.</w:t>
      </w:r>
      <w:bookmarkEnd w:id="15"/>
    </w:p>
    <w:p w14:paraId="203B4C7F" w14:textId="77777777" w:rsidR="008E7942" w:rsidRDefault="006D54D6">
      <w:pPr>
        <w:pStyle w:val="enacts"/>
      </w:pPr>
      <w:bookmarkStart w:id="16" w:name="1.05"/>
      <w:r>
        <w:t xml:space="preserve">The General Assembly of the Commonwealth of </w:t>
      </w:r>
      <w:r>
        <w:t>Pennsylvania</w:t>
      </w:r>
      <w:bookmarkEnd w:id="16"/>
      <w:r>
        <w:t xml:space="preserve"> </w:t>
      </w:r>
      <w:bookmarkStart w:id="17" w:name="1.06"/>
      <w:r>
        <w:t>hereby resolves as follows:</w:t>
      </w:r>
      <w:bookmarkEnd w:id="17"/>
    </w:p>
    <w:p w14:paraId="76C4406F" w14:textId="0B7BB508" w:rsidR="008E7942" w:rsidRDefault="006D54D6" w:rsidP="00302348">
      <w:pPr>
        <w:pStyle w:val="section"/>
        <w:suppressLineNumbers w:val="0"/>
        <w:spacing w:line="465" w:lineRule="exact"/>
      </w:pPr>
      <w:bookmarkStart w:id="18" w:name="1.07"/>
      <w:r>
        <w:t>Section 1.  The following integrated amendments to the</w:t>
      </w:r>
      <w:bookmarkEnd w:id="18"/>
      <w:r>
        <w:t xml:space="preserve"> </w:t>
      </w:r>
      <w:bookmarkStart w:id="19" w:name="1.08"/>
      <w:r>
        <w:t>Constitution of Pennsylvania are proposed in accordance with</w:t>
      </w:r>
      <w:bookmarkEnd w:id="19"/>
      <w:r>
        <w:t xml:space="preserve"> </w:t>
      </w:r>
      <w:bookmarkStart w:id="20" w:name="1.09"/>
      <w:r>
        <w:t>Article XI:</w:t>
      </w:r>
      <w:bookmarkEnd w:id="20"/>
    </w:p>
    <w:p w14:paraId="61E8E1DA" w14:textId="77777777" w:rsidR="008E7942" w:rsidRDefault="006D54D6">
      <w:pPr>
        <w:pStyle w:val="statutesectionheading"/>
        <w:suppressLineNumbers w:val="0"/>
        <w:spacing w:line="465" w:lineRule="exact"/>
      </w:pPr>
      <w:bookmarkStart w:id="21" w:name="1.11"/>
      <w:r>
        <w:t>§</w:t>
      </w:r>
      <w:r>
        <w:t xml:space="preserve"> 13.  Election of justices, </w:t>
      </w:r>
      <w:proofErr w:type="gramStart"/>
      <w:r>
        <w:t>judges</w:t>
      </w:r>
      <w:proofErr w:type="gramEnd"/>
      <w:r>
        <w:t xml:space="preserve"> and justices of the peace;</w:t>
      </w:r>
      <w:bookmarkEnd w:id="21"/>
      <w:r>
        <w:t xml:space="preserve"> </w:t>
      </w:r>
      <w:bookmarkStart w:id="22" w:name="1.12"/>
      <w:r>
        <w:t>vacancies.</w:t>
      </w:r>
      <w:bookmarkEnd w:id="22"/>
    </w:p>
    <w:p w14:paraId="3E2D4807" w14:textId="34526DE0" w:rsidR="008E7942" w:rsidRDefault="006D54D6" w:rsidP="00302348">
      <w:pPr>
        <w:pStyle w:val="statutesubsection"/>
        <w:numPr>
          <w:ilvl w:val="0"/>
          <w:numId w:val="1"/>
        </w:numPr>
        <w:suppressLineNumbers w:val="0"/>
        <w:spacing w:line="465" w:lineRule="exact"/>
      </w:pPr>
      <w:bookmarkStart w:id="23" w:name="1.13"/>
      <w:r>
        <w:t xml:space="preserve">Justices, </w:t>
      </w:r>
      <w:proofErr w:type="gramStart"/>
      <w:r>
        <w:t>judges</w:t>
      </w:r>
      <w:proofErr w:type="gramEnd"/>
      <w:r>
        <w:t xml:space="preserve"> and justices of the peace shall be</w:t>
      </w:r>
      <w:bookmarkEnd w:id="23"/>
      <w:r>
        <w:t xml:space="preserve"> </w:t>
      </w:r>
      <w:bookmarkStart w:id="24" w:name="1.14"/>
      <w:r>
        <w:t>elected at the municipal election next preceding the</w:t>
      </w:r>
      <w:bookmarkEnd w:id="24"/>
      <w:r>
        <w:t xml:space="preserve"> </w:t>
      </w:r>
      <w:bookmarkStart w:id="25" w:name="1.15"/>
      <w:r>
        <w:t>commencement of their respective terms of office by the electors</w:t>
      </w:r>
      <w:bookmarkEnd w:id="25"/>
      <w:r>
        <w:t xml:space="preserve"> </w:t>
      </w:r>
      <w:bookmarkStart w:id="26" w:name="1.16"/>
      <w:r>
        <w:t>of the Commonwealth or the respective districts in which they</w:t>
      </w:r>
      <w:bookmarkEnd w:id="26"/>
      <w:r>
        <w:t xml:space="preserve"> </w:t>
      </w:r>
      <w:bookmarkStart w:id="27" w:name="1.17"/>
      <w:r>
        <w:t>are to serve.</w:t>
      </w:r>
      <w:bookmarkEnd w:id="27"/>
    </w:p>
    <w:p w14:paraId="3590ED87" w14:textId="77777777" w:rsidR="00302348" w:rsidRDefault="00302348" w:rsidP="00302348">
      <w:pPr>
        <w:pStyle w:val="statutesectionheading"/>
        <w:suppressLineNumbers w:val="0"/>
        <w:spacing w:line="465" w:lineRule="exact"/>
      </w:pPr>
      <w:bookmarkStart w:id="28" w:name="3.09"/>
      <w:r>
        <w:t xml:space="preserve">§ 15.  Tenure of justices, </w:t>
      </w:r>
      <w:proofErr w:type="gramStart"/>
      <w:r>
        <w:t>judges</w:t>
      </w:r>
      <w:proofErr w:type="gramEnd"/>
      <w:r>
        <w:t xml:space="preserve"> and justices of the peace.</w:t>
      </w:r>
      <w:bookmarkEnd w:id="28"/>
    </w:p>
    <w:p w14:paraId="37DEE9F1" w14:textId="54D6C1D9" w:rsidR="00302348" w:rsidRDefault="00302348" w:rsidP="00530033">
      <w:pPr>
        <w:pStyle w:val="statutesubsection"/>
        <w:numPr>
          <w:ilvl w:val="0"/>
          <w:numId w:val="2"/>
        </w:numPr>
        <w:suppressLineNumbers w:val="0"/>
        <w:spacing w:line="465" w:lineRule="exact"/>
      </w:pPr>
      <w:bookmarkStart w:id="29" w:name="3.10"/>
      <w:r>
        <w:t>The regular term of office of justices</w:t>
      </w:r>
      <w:r w:rsidR="00530033">
        <w:t xml:space="preserve"> shall be changed from ten years to four years,</w:t>
      </w:r>
      <w:r>
        <w:t xml:space="preserve"> </w:t>
      </w:r>
      <w:bookmarkStart w:id="30" w:name="3.11"/>
      <w:bookmarkEnd w:id="29"/>
      <w:r w:rsidR="00530033">
        <w:t xml:space="preserve">and judges </w:t>
      </w:r>
      <w:r>
        <w:t xml:space="preserve">shall </w:t>
      </w:r>
      <w:r w:rsidR="00530033">
        <w:t>remain at</w:t>
      </w:r>
      <w:r>
        <w:t xml:space="preserve"> </w:t>
      </w:r>
      <w:r w:rsidR="00530033">
        <w:lastRenderedPageBreak/>
        <w:t>ten</w:t>
      </w:r>
      <w:r>
        <w:t xml:space="preserve"> years</w:t>
      </w:r>
      <w:r>
        <w:t xml:space="preserve">.  </w:t>
      </w:r>
      <w:r w:rsidRPr="00302348">
        <w:t>The</w:t>
      </w:r>
      <w:bookmarkStart w:id="31" w:name="3.12"/>
      <w:bookmarkEnd w:id="30"/>
      <w:r>
        <w:t xml:space="preserve"> regular term of office for</w:t>
      </w:r>
      <w:bookmarkEnd w:id="31"/>
      <w:r>
        <w:t xml:space="preserve"> </w:t>
      </w:r>
      <w:bookmarkStart w:id="32" w:name="3.13"/>
      <w:r>
        <w:t>judges of the municipal court in the City of Philadelphia and of</w:t>
      </w:r>
      <w:bookmarkEnd w:id="32"/>
      <w:r>
        <w:t xml:space="preserve"> </w:t>
      </w:r>
      <w:bookmarkStart w:id="33" w:name="3.14"/>
      <w:r>
        <w:t xml:space="preserve">justices of the peace shall </w:t>
      </w:r>
      <w:r w:rsidR="00530033">
        <w:t>remain at</w:t>
      </w:r>
      <w:r>
        <w:t xml:space="preserve"> six years. The tenure of any</w:t>
      </w:r>
      <w:bookmarkEnd w:id="33"/>
      <w:r>
        <w:t xml:space="preserve"> </w:t>
      </w:r>
      <w:bookmarkStart w:id="34" w:name="3.15"/>
      <w:r>
        <w:t>justice or judge shall not be affected by changes in judicial</w:t>
      </w:r>
      <w:bookmarkEnd w:id="34"/>
      <w:r>
        <w:t xml:space="preserve"> </w:t>
      </w:r>
      <w:bookmarkStart w:id="35" w:name="3.16"/>
      <w:r>
        <w:t>districts or by reduction in the number of judges.</w:t>
      </w:r>
      <w:bookmarkEnd w:id="35"/>
      <w:r w:rsidR="00530033">
        <w:t xml:space="preserve">  At the expiration of each term, a justice or judge will </w:t>
      </w:r>
      <w:proofErr w:type="spellStart"/>
      <w:r w:rsidR="006D54D6">
        <w:t>no</w:t>
      </w:r>
      <w:proofErr w:type="spellEnd"/>
      <w:r w:rsidR="006D54D6">
        <w:t xml:space="preserve"> longer</w:t>
      </w:r>
      <w:r w:rsidR="00530033">
        <w:t xml:space="preserve"> be eligible for retention, and must run for re-election to </w:t>
      </w:r>
      <w:r w:rsidR="006D54D6">
        <w:t xml:space="preserve">continue to </w:t>
      </w:r>
      <w:r w:rsidR="00530033">
        <w:t>serve.</w:t>
      </w:r>
    </w:p>
    <w:p w14:paraId="6A311A98" w14:textId="1D546975" w:rsidR="008E7942" w:rsidRDefault="006D54D6" w:rsidP="00302348">
      <w:pPr>
        <w:pStyle w:val="statutesubsection"/>
        <w:numPr>
          <w:ilvl w:val="0"/>
          <w:numId w:val="1"/>
        </w:numPr>
        <w:suppressLineNumbers w:val="0"/>
        <w:spacing w:line="465" w:lineRule="exact"/>
      </w:pPr>
      <w:bookmarkStart w:id="36" w:name="1.18"/>
      <w:r>
        <w:t>A vacancy in the office of justice, judge or justice of</w:t>
      </w:r>
      <w:bookmarkEnd w:id="36"/>
      <w:r>
        <w:t xml:space="preserve"> </w:t>
      </w:r>
      <w:bookmarkStart w:id="37" w:name="1.19"/>
      <w:r>
        <w:t>the peace shall be filled by appointment by the Governor. The</w:t>
      </w:r>
      <w:bookmarkEnd w:id="37"/>
      <w:r>
        <w:t xml:space="preserve"> </w:t>
      </w:r>
      <w:bookmarkStart w:id="38" w:name="2.01"/>
      <w:r>
        <w:t>appointment shall be with the advice and consent of two-thirds</w:t>
      </w:r>
      <w:bookmarkEnd w:id="38"/>
      <w:r>
        <w:t xml:space="preserve"> </w:t>
      </w:r>
      <w:bookmarkStart w:id="39" w:name="2.02"/>
      <w:r>
        <w:t>of the members elected to the Senate, except in the case of</w:t>
      </w:r>
      <w:bookmarkEnd w:id="39"/>
      <w:r>
        <w:t xml:space="preserve"> </w:t>
      </w:r>
      <w:bookmarkStart w:id="40" w:name="2.03"/>
      <w:r>
        <w:t>justices of the peace which shall be by a majority.</w:t>
      </w:r>
      <w:bookmarkEnd w:id="40"/>
      <w:r>
        <w:t xml:space="preserve">  The appointment will hold the office until the term ends of the previous serving elected candidate.</w:t>
      </w:r>
    </w:p>
    <w:p w14:paraId="0AF9DEB3" w14:textId="77777777" w:rsidR="00302348" w:rsidRDefault="00302348" w:rsidP="00302348">
      <w:pPr>
        <w:pStyle w:val="statutesubsection"/>
        <w:suppressLineNumbers w:val="0"/>
        <w:spacing w:line="465" w:lineRule="exact"/>
      </w:pPr>
    </w:p>
    <w:p w14:paraId="6A891ADD" w14:textId="77777777" w:rsidR="008E7942" w:rsidRDefault="006D54D6">
      <w:pPr>
        <w:pStyle w:val="section"/>
        <w:suppressLineNumbers w:val="0"/>
      </w:pPr>
      <w:bookmarkStart w:id="41" w:name="4.14"/>
      <w:r>
        <w:t>Section 2.  The following procedure applies to the proposed</w:t>
      </w:r>
      <w:bookmarkEnd w:id="41"/>
      <w:r>
        <w:t xml:space="preserve"> </w:t>
      </w:r>
      <w:bookmarkStart w:id="42" w:name="4.15"/>
      <w:r>
        <w:t>constitutional amendments in this joint resolution:</w:t>
      </w:r>
      <w:bookmarkEnd w:id="42"/>
    </w:p>
    <w:p w14:paraId="28D8761D" w14:textId="77777777" w:rsidR="008E7942" w:rsidRDefault="006D54D6">
      <w:pPr>
        <w:pStyle w:val="paragraph"/>
        <w:suppressLineNumbers w:val="0"/>
      </w:pPr>
      <w:bookmarkStart w:id="43" w:name="4.16"/>
      <w:r>
        <w:t>(1)  Upon the first passage by the General Assembly of</w:t>
      </w:r>
      <w:bookmarkEnd w:id="43"/>
      <w:r>
        <w:t xml:space="preserve"> </w:t>
      </w:r>
      <w:bookmarkStart w:id="44" w:name="4.17"/>
      <w:r>
        <w:t>the amendments, the Secretary of the Commonwealth shall</w:t>
      </w:r>
      <w:bookmarkEnd w:id="44"/>
      <w:r>
        <w:t xml:space="preserve"> </w:t>
      </w:r>
      <w:bookmarkStart w:id="45" w:name="4.18"/>
      <w:r>
        <w:t>proceed immediately to comply with the advertising</w:t>
      </w:r>
      <w:bookmarkEnd w:id="45"/>
      <w:r>
        <w:t xml:space="preserve"> </w:t>
      </w:r>
      <w:bookmarkStart w:id="46" w:name="4.19"/>
      <w:r>
        <w:t>requirements of section 1 of Article XI of the Constitution</w:t>
      </w:r>
      <w:bookmarkEnd w:id="46"/>
      <w:r>
        <w:t xml:space="preserve"> </w:t>
      </w:r>
      <w:bookmarkStart w:id="47" w:name="4.20"/>
      <w:r>
        <w:t>of Pennsylvania.</w:t>
      </w:r>
      <w:bookmarkEnd w:id="47"/>
    </w:p>
    <w:p w14:paraId="13380A9C" w14:textId="77777777" w:rsidR="008E7942" w:rsidRDefault="006D54D6">
      <w:pPr>
        <w:pStyle w:val="paragraph"/>
        <w:suppressLineNumbers w:val="0"/>
      </w:pPr>
      <w:bookmarkStart w:id="48" w:name="4.21"/>
      <w:r>
        <w:t>(2)  Upon the second passage by the General Assembly of</w:t>
      </w:r>
      <w:bookmarkEnd w:id="48"/>
      <w:r>
        <w:t xml:space="preserve"> </w:t>
      </w:r>
      <w:bookmarkStart w:id="49" w:name="4.22"/>
      <w:r>
        <w:t>the amendments, the Secretary of the Commonwealth shall</w:t>
      </w:r>
      <w:bookmarkEnd w:id="49"/>
      <w:r>
        <w:t xml:space="preserve"> </w:t>
      </w:r>
      <w:bookmarkStart w:id="50" w:name="4.23"/>
      <w:r>
        <w:t>proceed immediately to comply with the advertising</w:t>
      </w:r>
      <w:bookmarkEnd w:id="50"/>
      <w:r>
        <w:t xml:space="preserve"> </w:t>
      </w:r>
      <w:bookmarkStart w:id="51" w:name="4.24"/>
      <w:r>
        <w:t>requirements of section 1 of Article XI of the Constitution</w:t>
      </w:r>
      <w:bookmarkEnd w:id="51"/>
      <w:r>
        <w:t xml:space="preserve"> </w:t>
      </w:r>
      <w:bookmarkStart w:id="52" w:name="4.25"/>
      <w:r>
        <w:lastRenderedPageBreak/>
        <w:t>of Pennsylvania. The Secretary of the Commonwealth shall</w:t>
      </w:r>
      <w:bookmarkEnd w:id="52"/>
      <w:r>
        <w:t xml:space="preserve"> </w:t>
      </w:r>
      <w:bookmarkStart w:id="53" w:name="4.26"/>
      <w:r>
        <w:t>submit the amendments to the qualified electors of this</w:t>
      </w:r>
      <w:bookmarkEnd w:id="53"/>
      <w:r>
        <w:t xml:space="preserve"> </w:t>
      </w:r>
      <w:bookmarkStart w:id="54" w:name="4.27"/>
      <w:r>
        <w:t>Commonwealth as a single ballot question at the</w:t>
      </w:r>
      <w:r>
        <w:t xml:space="preserve"> first</w:t>
      </w:r>
      <w:bookmarkEnd w:id="54"/>
      <w:r>
        <w:t xml:space="preserve"> </w:t>
      </w:r>
      <w:bookmarkStart w:id="55" w:name="4.28"/>
      <w:r>
        <w:t xml:space="preserve">primary, general or municipal election </w:t>
      </w:r>
      <w:r>
        <w:t>which meets the</w:t>
      </w:r>
      <w:bookmarkEnd w:id="55"/>
      <w:r>
        <w:t xml:space="preserve"> </w:t>
      </w:r>
      <w:bookmarkStart w:id="56" w:name="4.29"/>
      <w:r>
        <w:t>requirements of section 1 of Article XI of the Constitution</w:t>
      </w:r>
      <w:bookmarkEnd w:id="56"/>
      <w:r>
        <w:t xml:space="preserve"> </w:t>
      </w:r>
      <w:bookmarkStart w:id="57" w:name="4.30"/>
      <w:r>
        <w:t>of Pennsylvania.</w:t>
      </w:r>
      <w:bookmarkEnd w:id="57"/>
    </w:p>
    <w:sectPr w:rsidR="008E7942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7E16" w14:textId="77777777" w:rsidR="006D54D6" w:rsidRDefault="006D54D6">
      <w:r>
        <w:separator/>
      </w:r>
    </w:p>
  </w:endnote>
  <w:endnote w:type="continuationSeparator" w:id="0">
    <w:p w14:paraId="36E02234" w14:textId="77777777" w:rsidR="006D54D6" w:rsidRDefault="006D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E81" w14:textId="77777777" w:rsidR="006D54D6" w:rsidRDefault="006D54D6">
      <w:r>
        <w:rPr>
          <w:color w:val="000000"/>
        </w:rPr>
        <w:separator/>
      </w:r>
    </w:p>
  </w:footnote>
  <w:footnote w:type="continuationSeparator" w:id="0">
    <w:p w14:paraId="043C6DDE" w14:textId="77777777" w:rsidR="006D54D6" w:rsidRDefault="006D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486D"/>
    <w:multiLevelType w:val="hybridMultilevel"/>
    <w:tmpl w:val="BD68DF74"/>
    <w:lvl w:ilvl="0" w:tplc="567C4E7E">
      <w:start w:val="1"/>
      <w:numFmt w:val="lowerLetter"/>
      <w:lvlText w:val="(%1)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594D1EDF"/>
    <w:multiLevelType w:val="hybridMultilevel"/>
    <w:tmpl w:val="CA327378"/>
    <w:lvl w:ilvl="0" w:tplc="CC765B7A">
      <w:start w:val="1"/>
      <w:numFmt w:val="lowerLetter"/>
      <w:lvlText w:val="(%1)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1159079366">
    <w:abstractNumId w:val="1"/>
  </w:num>
  <w:num w:numId="2" w16cid:durableId="139704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942"/>
    <w:rsid w:val="000E283D"/>
    <w:rsid w:val="00302348"/>
    <w:rsid w:val="00530033"/>
    <w:rsid w:val="006D54D6"/>
    <w:rsid w:val="008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9BCC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Arial Unicode MS" w:hAnsi="Courier New" w:cs="Courier New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9972"/>
      </w:tabs>
      <w:ind w:left="283"/>
    </w:p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customStyle="1" w:styleId="Contents1">
    <w:name w:val="Contents 1"/>
    <w:basedOn w:val="Index"/>
    <w:pPr>
      <w:tabs>
        <w:tab w:val="right" w:leader="dot" w:pos="9972"/>
      </w:tabs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rFonts w:cs="Tahoma"/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rFonts w:cs="Tahoma"/>
      <w:lang/>
      <w:eastAsianLayout/>
    </w:rPr>
  </w:style>
  <w:style w:type="paragraph" w:customStyle="1" w:styleId="anact">
    <w:name w:val="anact"/>
    <w:pPr>
      <w:suppressLineNumbers/>
      <w:snapToGrid w:val="0"/>
      <w:spacing w:line="232" w:lineRule="exact"/>
      <w:jc w:val="center"/>
      <w:textAlignment w:val="auto"/>
    </w:pPr>
    <w:rPr>
      <w:rFonts w:cs="Tahoma"/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 w:cs="Tahoma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rFonts w:cs="Tahoma"/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rFonts w:cs="Tahoma"/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rFonts w:cs="Tahoma"/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rFonts w:cs="Tahoma"/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rFonts w:cs="Tahoma"/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rFonts w:cs="Tahoma"/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rFonts w:cs="Tahoma"/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rFonts w:cs="Tahoma"/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rFonts w:cs="Tahoma"/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rFonts w:cs="Tahoma"/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rFonts w:cs="Tahoma"/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rFonts w:cs="Tahoma"/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rFonts w:cs="Tahoma"/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rFonts w:cs="Tahoma"/>
      <w:lang/>
      <w:eastAsianLayout/>
    </w:rPr>
  </w:style>
  <w:style w:type="paragraph" w:customStyle="1" w:styleId="statute">
    <w:name w:val="statute"/>
    <w:basedOn w:val="Standard"/>
    <w:pPr>
      <w:spacing w:line="244" w:lineRule="exact"/>
      <w:ind w:firstLine="437"/>
    </w:pPr>
  </w:style>
  <w:style w:type="paragraph" w:customStyle="1" w:styleId="statutesectionheading">
    <w:name w:val="statute_section_heading"/>
    <w:basedOn w:val="statute"/>
    <w:next w:val="statutesubsection"/>
    <w:pPr>
      <w:suppressLineNumbers/>
      <w:spacing w:line="232" w:lineRule="exact"/>
      <w:ind w:left="1593" w:hanging="1593"/>
    </w:pPr>
  </w:style>
  <w:style w:type="paragraph" w:customStyle="1" w:styleId="statutesubsection">
    <w:name w:val="statute_subsection"/>
    <w:basedOn w:val="statute"/>
    <w:pPr>
      <w:suppressLineNumbers/>
      <w:spacing w:line="232" w:lineRule="exact"/>
    </w:p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00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0F69F-89D1-49C6-80F0-315C8BDFDCDD}"/>
</file>

<file path=customXml/itemProps2.xml><?xml version="1.0" encoding="utf-8"?>
<ds:datastoreItem xmlns:ds="http://schemas.openxmlformats.org/officeDocument/2006/customXml" ds:itemID="{F471E012-11B9-45CE-9459-1A8672E15AC6}"/>
</file>

<file path=customXml/itemProps3.xml><?xml version="1.0" encoding="utf-8"?>
<ds:datastoreItem xmlns:ds="http://schemas.openxmlformats.org/officeDocument/2006/customXml" ds:itemID="{ACFC7F5E-8EF3-40C4-A725-ED8A67E99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dcterms:created xsi:type="dcterms:W3CDTF">2024-10-21T19:26:00Z</dcterms:created>
  <dcterms:modified xsi:type="dcterms:W3CDTF">2024-10-21T19:26:00Z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S</vt:lpwstr>
  </property>
  <property fmtid="{D5CDD505-2E9C-101B-9397-08002B2CF9AE}" pid="3" name="BillNumber">
    <vt:lpwstr>0733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Senate Bill 733 P.N 818</vt:lpwstr>
  </property>
  <property fmtid="{D5CDD505-2E9C-101B-9397-08002B2CF9AE}" pid="6" name="PrintersNumber">
    <vt:lpwstr>0818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</Properties>
</file>