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CA94" w14:textId="77777777" w:rsidR="00E77619" w:rsidRDefault="00E77619">
      <w:pPr>
        <w:pStyle w:val="Standard"/>
      </w:pPr>
    </w:p>
    <w:p w14:paraId="3A2E5D51" w14:textId="77777777" w:rsidR="00BA5BB9" w:rsidRDefault="00BA5BB9">
      <w:pPr>
        <w:rPr>
          <w:rFonts w:cs="Mangal"/>
          <w:szCs w:val="21"/>
        </w:rPr>
        <w:sectPr w:rsidR="00000000">
          <w:type w:val="continuous"/>
          <w:pgSz w:w="12240" w:h="15840"/>
          <w:pgMar w:top="567" w:right="1474" w:bottom="1609" w:left="1474" w:header="720" w:footer="992" w:gutter="0"/>
          <w:cols w:space="0"/>
          <w:titlePg/>
        </w:sectPr>
      </w:pPr>
    </w:p>
    <w:tbl>
      <w:tblPr>
        <w:tblW w:w="10425" w:type="dxa"/>
        <w:tblInd w:w="-3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6"/>
        <w:gridCol w:w="3809"/>
      </w:tblGrid>
      <w:tr w:rsidR="00E77619" w14:paraId="6D74025F" w14:textId="77777777">
        <w:tblPrEx>
          <w:tblCellMar>
            <w:top w:w="0" w:type="dxa"/>
            <w:bottom w:w="0" w:type="dxa"/>
          </w:tblCellMar>
        </w:tblPrEx>
        <w:trPr>
          <w:trHeight w:val="316"/>
          <w:tblHeader/>
        </w:trPr>
        <w:tc>
          <w:tcPr>
            <w:tcW w:w="6616" w:type="dxa"/>
            <w:tcBorders>
              <w:bottom w:val="doub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EC631" w14:textId="77777777" w:rsidR="00E77619" w:rsidRDefault="00BA5BB9">
            <w:pPr>
              <w:pStyle w:val="Standard"/>
              <w:suppressLineNumbers/>
              <w:spacing w:before="230" w:line="230" w:lineRule="exact"/>
              <w:ind w:left="397"/>
            </w:pPr>
            <w:r>
              <w:t xml:space="preserve"> </w:t>
            </w:r>
            <w:bookmarkStart w:id="0" w:name="T_DocumentContents_S_PriorPnNum"/>
            <w:bookmarkEnd w:id="0"/>
          </w:p>
        </w:tc>
        <w:tc>
          <w:tcPr>
            <w:tcW w:w="3809" w:type="dxa"/>
            <w:tcBorders>
              <w:bottom w:val="doub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61080" w14:textId="77777777" w:rsidR="00E77619" w:rsidRDefault="00BA5BB9">
            <w:pPr>
              <w:pStyle w:val="Standard"/>
              <w:suppressLineNumbers/>
              <w:tabs>
                <w:tab w:val="right" w:pos="6520"/>
              </w:tabs>
              <w:ind w:right="340"/>
              <w:jc w:val="right"/>
            </w:pPr>
            <w:bookmarkStart w:id="1" w:name="T_DocumentContents_S_PnText"/>
            <w:r>
              <w:rPr>
                <w:rFonts w:cs="Courier New"/>
                <w:szCs w:val="20"/>
              </w:rPr>
              <w:t>PRINTER'S NO.</w:t>
            </w:r>
            <w:r>
              <w:t xml:space="preserve"> </w:t>
            </w:r>
            <w:bookmarkEnd w:id="1"/>
            <w:r>
              <w:t xml:space="preserve"> </w:t>
            </w:r>
            <w:bookmarkStart w:id="2" w:name="T_DocumentContents_S_PnNum"/>
            <w:r>
              <w:rPr>
                <w:rFonts w:ascii="Arial" w:hAnsi="Arial"/>
                <w:sz w:val="36"/>
                <w:szCs w:val="36"/>
              </w:rPr>
              <w:t>757</w:t>
            </w:r>
            <w:bookmarkEnd w:id="2"/>
          </w:p>
        </w:tc>
      </w:tr>
    </w:tbl>
    <w:p w14:paraId="168BEABA" w14:textId="77777777" w:rsidR="00E77619" w:rsidRDefault="00E77619">
      <w:pPr>
        <w:pStyle w:val="Standard"/>
        <w:suppressLineNumbers/>
        <w:spacing w:line="232" w:lineRule="exact"/>
      </w:pPr>
    </w:p>
    <w:p w14:paraId="10B8B0EC" w14:textId="77777777" w:rsidR="00E77619" w:rsidRDefault="00BA5BB9">
      <w:pPr>
        <w:pStyle w:val="Standard"/>
        <w:suppressLineNumbers/>
        <w:spacing w:before="57" w:after="57"/>
        <w:jc w:val="center"/>
        <w:rPr>
          <w:rFonts w:ascii="Arial" w:hAnsi="Arial"/>
          <w:b/>
          <w:spacing w:val="4"/>
        </w:rPr>
      </w:pPr>
      <w:r>
        <w:rPr>
          <w:rFonts w:ascii="Arial" w:hAnsi="Arial"/>
          <w:b/>
          <w:spacing w:val="4"/>
        </w:rPr>
        <w:t>THE GENERAL ASSEMBLY OF PENNSYLVANIA</w:t>
      </w:r>
    </w:p>
    <w:p w14:paraId="18680EED" w14:textId="77777777" w:rsidR="00E77619" w:rsidRDefault="00E77619">
      <w:pPr>
        <w:pStyle w:val="HorizontalLine"/>
        <w:ind w:left="2837" w:right="3182"/>
      </w:pPr>
    </w:p>
    <w:p w14:paraId="6B114E9F" w14:textId="77777777" w:rsidR="00E77619" w:rsidRDefault="00BA5BB9">
      <w:pPr>
        <w:pStyle w:val="Standard"/>
        <w:suppressLineNumbers/>
        <w:spacing w:before="170"/>
        <w:ind w:left="283"/>
        <w:jc w:val="center"/>
        <w:rPr>
          <w:rFonts w:ascii="Arial" w:hAnsi="Arial"/>
          <w:sz w:val="72"/>
        </w:rPr>
      </w:pPr>
      <w:bookmarkStart w:id="3" w:name="T_DocumentContents_S_Chamber"/>
      <w:r>
        <w:rPr>
          <w:rFonts w:ascii="Arial" w:hAnsi="Arial"/>
          <w:sz w:val="72"/>
        </w:rPr>
        <w:t xml:space="preserve">SENATE </w:t>
      </w:r>
      <w:bookmarkStart w:id="4" w:name="T_DocumentContents_S_MeasureType"/>
      <w:bookmarkEnd w:id="3"/>
      <w:r>
        <w:rPr>
          <w:rFonts w:ascii="Arial" w:hAnsi="Arial"/>
          <w:sz w:val="72"/>
        </w:rPr>
        <w:t>BILL</w:t>
      </w:r>
      <w:bookmarkEnd w:id="4"/>
    </w:p>
    <w:tbl>
      <w:tblPr>
        <w:tblW w:w="4694" w:type="dxa"/>
        <w:tblInd w:w="25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3"/>
        <w:gridCol w:w="2052"/>
        <w:gridCol w:w="1429"/>
      </w:tblGrid>
      <w:tr w:rsidR="00E77619" w14:paraId="33E022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21044" w14:textId="77777777" w:rsidR="00E77619" w:rsidRDefault="00BA5BB9">
            <w:pPr>
              <w:pStyle w:val="Standard"/>
              <w:suppressLineNumbers/>
              <w:rPr>
                <w:rFonts w:ascii="Arial" w:hAnsi="Arial"/>
                <w:sz w:val="52"/>
              </w:rPr>
            </w:pPr>
            <w:r>
              <w:rPr>
                <w:rFonts w:ascii="Arial" w:hAnsi="Arial"/>
                <w:sz w:val="52"/>
              </w:rPr>
              <w:t>No.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6C6C2" w14:textId="0DB75CD3" w:rsidR="00E77619" w:rsidRDefault="00BA5BB9">
            <w:pPr>
              <w:pStyle w:val="Standard"/>
              <w:suppressLineNumbers/>
              <w:ind w:left="283"/>
              <w:rPr>
                <w:rFonts w:ascii="Arial" w:hAnsi="Arial"/>
                <w:sz w:val="72"/>
              </w:rPr>
            </w:pPr>
            <w:bookmarkStart w:id="5" w:name="T_DocumentContents_S_MeasureNum"/>
            <w:r>
              <w:rPr>
                <w:rFonts w:ascii="Arial" w:hAnsi="Arial"/>
                <w:sz w:val="72"/>
              </w:rPr>
              <w:t>8</w:t>
            </w:r>
            <w:bookmarkEnd w:id="5"/>
          </w:p>
        </w:tc>
        <w:tc>
          <w:tcPr>
            <w:tcW w:w="14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3FA4F" w14:textId="77777777" w:rsidR="00E77619" w:rsidRDefault="00BA5BB9">
            <w:pPr>
              <w:pStyle w:val="Standard"/>
              <w:suppressLineNumbers/>
              <w:jc w:val="center"/>
              <w:rPr>
                <w:rFonts w:ascii="Arial" w:hAnsi="Arial"/>
                <w:sz w:val="28"/>
              </w:rPr>
            </w:pPr>
            <w:bookmarkStart w:id="6" w:name="T_DocumentContents_S_SessionType"/>
            <w:r>
              <w:rPr>
                <w:rFonts w:ascii="Arial" w:hAnsi="Arial"/>
                <w:sz w:val="28"/>
              </w:rPr>
              <w:t>Session of</w:t>
            </w:r>
            <w:bookmarkEnd w:id="6"/>
          </w:p>
          <w:p w14:paraId="20569007" w14:textId="5560537D" w:rsidR="00E77619" w:rsidRDefault="00BA5BB9">
            <w:pPr>
              <w:pStyle w:val="Standard"/>
              <w:suppressLineNumbers/>
              <w:jc w:val="center"/>
              <w:rPr>
                <w:rFonts w:ascii="Arial" w:hAnsi="Arial"/>
                <w:sz w:val="28"/>
              </w:rPr>
            </w:pPr>
            <w:bookmarkStart w:id="7" w:name="T_DocumentContents_S_SessionYear"/>
            <w:r>
              <w:rPr>
                <w:rFonts w:ascii="Arial" w:hAnsi="Arial"/>
                <w:sz w:val="28"/>
              </w:rPr>
              <w:t>202</w:t>
            </w:r>
            <w:bookmarkEnd w:id="7"/>
            <w:r w:rsidR="00803793">
              <w:rPr>
                <w:rFonts w:ascii="Arial" w:hAnsi="Arial"/>
                <w:sz w:val="28"/>
              </w:rPr>
              <w:t>4</w:t>
            </w:r>
          </w:p>
        </w:tc>
      </w:tr>
    </w:tbl>
    <w:p w14:paraId="389C416B" w14:textId="77777777" w:rsidR="00E77619" w:rsidRDefault="00E77619">
      <w:pPr>
        <w:pStyle w:val="Standard"/>
        <w:suppressLineNumbers/>
        <w:ind w:left="-346" w:right="-792"/>
        <w:rPr>
          <w:sz w:val="4"/>
          <w:szCs w:val="4"/>
        </w:rPr>
      </w:pPr>
    </w:p>
    <w:p w14:paraId="5D8666AF" w14:textId="77777777" w:rsidR="00E77619" w:rsidRDefault="00E77619">
      <w:pPr>
        <w:pStyle w:val="Standard"/>
        <w:suppressLineNumbers/>
        <w:ind w:left="-346" w:right="-792"/>
        <w:rPr>
          <w:sz w:val="4"/>
          <w:szCs w:val="4"/>
        </w:rPr>
      </w:pPr>
    </w:p>
    <w:p w14:paraId="081E25FD" w14:textId="77777777" w:rsidR="00E77619" w:rsidRDefault="00E77619">
      <w:pPr>
        <w:pStyle w:val="Standard"/>
        <w:suppressLineNumbers/>
        <w:spacing w:line="232" w:lineRule="exact"/>
      </w:pPr>
    </w:p>
    <w:p w14:paraId="07A4094B" w14:textId="6B6FC217" w:rsidR="00E77619" w:rsidRDefault="00BA5BB9">
      <w:pPr>
        <w:pStyle w:val="Standard"/>
        <w:suppressLineNumbers/>
        <w:spacing w:line="232" w:lineRule="exact"/>
        <w:ind w:left="437" w:hanging="437"/>
      </w:pPr>
      <w:bookmarkStart w:id="8" w:name="T_DocumentContents_S_IntroByText"/>
      <w:r>
        <w:t xml:space="preserve">INTRODUCED BY </w:t>
      </w:r>
      <w:bookmarkEnd w:id="8"/>
    </w:p>
    <w:p w14:paraId="3B05466E" w14:textId="77777777" w:rsidR="00E77619" w:rsidRDefault="00E77619">
      <w:pPr>
        <w:pStyle w:val="Standard"/>
        <w:suppressLineNumbers/>
        <w:ind w:left="-346" w:right="-792"/>
        <w:rPr>
          <w:sz w:val="4"/>
          <w:szCs w:val="4"/>
        </w:rPr>
      </w:pPr>
    </w:p>
    <w:p w14:paraId="546BCF0A" w14:textId="77777777" w:rsidR="00E77619" w:rsidRDefault="00E77619">
      <w:pPr>
        <w:pStyle w:val="Standard"/>
        <w:suppressLineNumbers/>
        <w:spacing w:line="232" w:lineRule="exact"/>
      </w:pPr>
    </w:p>
    <w:p w14:paraId="46F28DBF" w14:textId="3975EAD6" w:rsidR="00E77619" w:rsidRDefault="00BA5BB9">
      <w:pPr>
        <w:pStyle w:val="Standard"/>
        <w:suppressLineNumbers/>
        <w:spacing w:line="232" w:lineRule="exact"/>
        <w:ind w:left="437" w:hanging="437"/>
      </w:pPr>
      <w:bookmarkStart w:id="9" w:name="T_DocumentContents_S_MeasureStatus"/>
      <w:r>
        <w:t>REFERRED TO HEALTH AND HUMAN SERVICES</w:t>
      </w:r>
      <w:bookmarkEnd w:id="9"/>
    </w:p>
    <w:p w14:paraId="6234AD6E" w14:textId="77777777" w:rsidR="00E77619" w:rsidRDefault="00E77619">
      <w:pPr>
        <w:pStyle w:val="Standard"/>
        <w:suppressLineNumbers/>
        <w:ind w:left="-346" w:right="-792"/>
        <w:rPr>
          <w:sz w:val="4"/>
          <w:szCs w:val="4"/>
        </w:rPr>
      </w:pPr>
    </w:p>
    <w:p w14:paraId="19EE3506" w14:textId="77777777" w:rsidR="00E77619" w:rsidRDefault="00E77619">
      <w:pPr>
        <w:pStyle w:val="Standard"/>
        <w:suppressLineNumbers/>
        <w:spacing w:line="232" w:lineRule="exact"/>
      </w:pPr>
    </w:p>
    <w:p w14:paraId="6274D569" w14:textId="77777777" w:rsidR="00E77619" w:rsidRDefault="00E77619">
      <w:pPr>
        <w:pStyle w:val="Standard"/>
        <w:suppressLineNumbers/>
        <w:spacing w:line="232" w:lineRule="exact"/>
      </w:pPr>
      <w:bookmarkStart w:id="10" w:name="T_DocumentContents_S_MeasureTitle"/>
      <w:bookmarkEnd w:id="10"/>
    </w:p>
    <w:p w14:paraId="372BF9C2" w14:textId="77777777" w:rsidR="00BA5BB9" w:rsidRDefault="00BA5BB9">
      <w:pPr>
        <w:rPr>
          <w:rFonts w:cs="Mangal"/>
          <w:szCs w:val="21"/>
        </w:rPr>
        <w:sectPr w:rsidR="00000000">
          <w:type w:val="continuous"/>
          <w:pgSz w:w="12240" w:h="15840"/>
          <w:pgMar w:top="567" w:right="1474" w:bottom="1609" w:left="1474" w:header="720" w:footer="992" w:gutter="0"/>
          <w:cols w:space="0"/>
          <w:titlePg/>
        </w:sectPr>
      </w:pPr>
    </w:p>
    <w:p w14:paraId="2D194E6F" w14:textId="77777777" w:rsidR="00E77619" w:rsidRDefault="00BA5BB9">
      <w:pPr>
        <w:pStyle w:val="anact"/>
      </w:pPr>
      <w:r>
        <w:t>AN ACT</w:t>
      </w:r>
    </w:p>
    <w:p w14:paraId="3EE2D2B0" w14:textId="77777777" w:rsidR="00BA5BB9" w:rsidRDefault="00BA5BB9">
      <w:pPr>
        <w:rPr>
          <w:rFonts w:cs="Mangal"/>
          <w:szCs w:val="21"/>
        </w:rPr>
        <w:sectPr w:rsidR="00000000">
          <w:type w:val="continuous"/>
          <w:pgSz w:w="12240" w:h="15840"/>
          <w:pgMar w:top="567" w:right="1474" w:bottom="1609" w:left="1474" w:header="720" w:footer="992" w:gutter="0"/>
          <w:cols w:space="0"/>
          <w:titlePg/>
        </w:sectPr>
      </w:pPr>
    </w:p>
    <w:p w14:paraId="1EB98607" w14:textId="77777777" w:rsidR="00E77619" w:rsidRDefault="00E77619">
      <w:pPr>
        <w:pStyle w:val="Standard"/>
        <w:suppressLineNumbers/>
        <w:spacing w:line="230" w:lineRule="exact"/>
      </w:pPr>
    </w:p>
    <w:p w14:paraId="4E577716" w14:textId="59EFCB27" w:rsidR="00E77619" w:rsidRDefault="00803793">
      <w:pPr>
        <w:pStyle w:val="longtitle"/>
        <w:suppressLineNumbers w:val="0"/>
      </w:pPr>
      <w:bookmarkStart w:id="11" w:name="bodyStart"/>
      <w:bookmarkEnd w:id="11"/>
      <w:r>
        <w:t>Enacting Health Systems Protections.</w:t>
      </w:r>
    </w:p>
    <w:p w14:paraId="4AC3F08A" w14:textId="77777777" w:rsidR="00803793" w:rsidRDefault="00803793">
      <w:pPr>
        <w:pStyle w:val="longtitle"/>
        <w:suppressLineNumbers w:val="0"/>
      </w:pPr>
    </w:p>
    <w:p w14:paraId="0C8057D8" w14:textId="77777777" w:rsidR="00E77619" w:rsidRDefault="00BA5BB9">
      <w:pPr>
        <w:pStyle w:val="enacts"/>
        <w:suppressLineNumbers w:val="0"/>
      </w:pPr>
      <w:bookmarkStart w:id="12" w:name="1.11"/>
      <w:r>
        <w:t>The General Assembly of the Commonwealth of Pennsylvania</w:t>
      </w:r>
      <w:bookmarkEnd w:id="12"/>
      <w:r>
        <w:t xml:space="preserve"> </w:t>
      </w:r>
      <w:bookmarkStart w:id="13" w:name="1.12"/>
      <w:r>
        <w:t>hereby enacts as follows:</w:t>
      </w:r>
      <w:bookmarkEnd w:id="13"/>
    </w:p>
    <w:p w14:paraId="32B6AC92" w14:textId="77777777" w:rsidR="00E77619" w:rsidRDefault="00BA5BB9">
      <w:pPr>
        <w:pStyle w:val="section"/>
        <w:suppressLineNumbers w:val="0"/>
        <w:spacing w:line="465" w:lineRule="exact"/>
      </w:pPr>
      <w:bookmarkStart w:id="14" w:name="1.13"/>
      <w:r>
        <w:t>Section 1.  The act of July 19, 1979 (P.L.130, No.48), known</w:t>
      </w:r>
      <w:bookmarkEnd w:id="14"/>
      <w:r>
        <w:t xml:space="preserve"> </w:t>
      </w:r>
      <w:bookmarkStart w:id="15" w:name="1.14"/>
      <w:r>
        <w:t>as the Health Care Facilities Act, is amended by adding a</w:t>
      </w:r>
      <w:bookmarkEnd w:id="15"/>
      <w:r>
        <w:t xml:space="preserve"> </w:t>
      </w:r>
      <w:bookmarkStart w:id="16" w:name="1.15"/>
      <w:r>
        <w:t>chapter to read:</w:t>
      </w:r>
      <w:bookmarkEnd w:id="16"/>
    </w:p>
    <w:p w14:paraId="2507323C" w14:textId="77777777" w:rsidR="00E77619" w:rsidRDefault="00BA5BB9">
      <w:pPr>
        <w:pStyle w:val="chapter"/>
        <w:suppressLineNumbers w:val="0"/>
        <w:rPr>
          <w:u w:val="single"/>
        </w:rPr>
      </w:pPr>
      <w:bookmarkStart w:id="17" w:name="1.16"/>
      <w:r>
        <w:rPr>
          <w:u w:val="single"/>
        </w:rPr>
        <w:t>CHAPTER 8-C</w:t>
      </w:r>
      <w:bookmarkEnd w:id="17"/>
    </w:p>
    <w:p w14:paraId="201EEF6E" w14:textId="77777777" w:rsidR="00E77619" w:rsidRDefault="00BA5BB9">
      <w:pPr>
        <w:pStyle w:val="chapter"/>
        <w:suppressLineNumbers w:val="0"/>
        <w:rPr>
          <w:u w:val="single"/>
        </w:rPr>
      </w:pPr>
      <w:bookmarkStart w:id="18" w:name="1.17"/>
      <w:r>
        <w:rPr>
          <w:u w:val="single"/>
        </w:rPr>
        <w:t>HEALTH SYSTEMS PROTECTION</w:t>
      </w:r>
      <w:bookmarkEnd w:id="18"/>
    </w:p>
    <w:p w14:paraId="154810B2" w14:textId="77777777" w:rsidR="00A221F3" w:rsidRDefault="00A221F3" w:rsidP="00A221F3">
      <w:pPr>
        <w:pStyle w:val="chapter"/>
        <w:suppressLineNumbers w:val="0"/>
        <w:jc w:val="left"/>
        <w:rPr>
          <w:u w:val="single"/>
        </w:rPr>
      </w:pPr>
    </w:p>
    <w:p w14:paraId="6486042C" w14:textId="5DE40D62" w:rsidR="00A221F3" w:rsidRDefault="00A221F3" w:rsidP="00A221F3">
      <w:pPr>
        <w:pStyle w:val="chapter"/>
        <w:suppressLineNumbers w:val="0"/>
        <w:jc w:val="left"/>
        <w:rPr>
          <w:u w:val="single"/>
        </w:rPr>
      </w:pPr>
      <w:r w:rsidRPr="00A221F3">
        <w:rPr>
          <w:u w:val="single"/>
          <w:lang w:val="fr-CA"/>
        </w:rPr>
        <w:t xml:space="preserve">Section 801-C.  </w:t>
      </w:r>
      <w:r w:rsidRPr="00A221F3">
        <w:rPr>
          <w:u w:val="single"/>
        </w:rPr>
        <w:t>Requires for-p</w:t>
      </w:r>
      <w:r>
        <w:rPr>
          <w:u w:val="single"/>
        </w:rPr>
        <w:t xml:space="preserve">rofit health systems, which </w:t>
      </w:r>
      <w:r>
        <w:rPr>
          <w:u w:val="single"/>
        </w:rPr>
        <w:t>own and operat</w:t>
      </w:r>
      <w:r>
        <w:rPr>
          <w:u w:val="single"/>
        </w:rPr>
        <w:t>e</w:t>
      </w:r>
      <w:r>
        <w:rPr>
          <w:u w:val="single"/>
        </w:rPr>
        <w:t xml:space="preserve"> one or more hospitals, hospice agencies or nursing homes</w:t>
      </w:r>
      <w:r>
        <w:rPr>
          <w:u w:val="single"/>
        </w:rPr>
        <w:t>, to file notice and documentation to the Office of the Attorney General before completing critical transactions, including, but not limited to:</w:t>
      </w:r>
    </w:p>
    <w:p w14:paraId="0F696084" w14:textId="593C2339" w:rsidR="00A221F3" w:rsidRDefault="00A221F3" w:rsidP="00A221F3">
      <w:pPr>
        <w:pStyle w:val="chapter"/>
        <w:numPr>
          <w:ilvl w:val="0"/>
          <w:numId w:val="1"/>
        </w:numPr>
        <w:suppressLineNumbers w:val="0"/>
        <w:jc w:val="left"/>
        <w:rPr>
          <w:u w:val="single"/>
        </w:rPr>
      </w:pPr>
      <w:r>
        <w:rPr>
          <w:u w:val="single"/>
        </w:rPr>
        <w:t>Sale-leaseback agreements.</w:t>
      </w:r>
    </w:p>
    <w:p w14:paraId="310184B7" w14:textId="6FD25716" w:rsidR="00A221F3" w:rsidRDefault="00A221F3" w:rsidP="00A221F3">
      <w:pPr>
        <w:pStyle w:val="chapter"/>
        <w:numPr>
          <w:ilvl w:val="0"/>
          <w:numId w:val="1"/>
        </w:numPr>
        <w:suppressLineNumbers w:val="0"/>
        <w:jc w:val="left"/>
        <w:rPr>
          <w:u w:val="single"/>
        </w:rPr>
      </w:pPr>
      <w:r>
        <w:rPr>
          <w:u w:val="single"/>
        </w:rPr>
        <w:t>Purchases or sales of health system facilities or real estate.</w:t>
      </w:r>
    </w:p>
    <w:p w14:paraId="2C4D87F2" w14:textId="3DB97B02" w:rsidR="00A221F3" w:rsidRDefault="00A221F3" w:rsidP="00A221F3">
      <w:pPr>
        <w:pStyle w:val="chapter"/>
        <w:numPr>
          <w:ilvl w:val="0"/>
          <w:numId w:val="1"/>
        </w:numPr>
        <w:suppressLineNumbers w:val="0"/>
        <w:jc w:val="left"/>
        <w:rPr>
          <w:u w:val="single"/>
        </w:rPr>
      </w:pPr>
      <w:r>
        <w:rPr>
          <w:u w:val="single"/>
        </w:rPr>
        <w:lastRenderedPageBreak/>
        <w:t>Dividend recapitalization.</w:t>
      </w:r>
    </w:p>
    <w:p w14:paraId="0CD01AEE" w14:textId="5E3413AA" w:rsidR="00A221F3" w:rsidRDefault="00A221F3" w:rsidP="00A221F3">
      <w:pPr>
        <w:pStyle w:val="chapter"/>
        <w:numPr>
          <w:ilvl w:val="0"/>
          <w:numId w:val="1"/>
        </w:numPr>
        <w:suppressLineNumbers w:val="0"/>
        <w:jc w:val="left"/>
        <w:rPr>
          <w:u w:val="single"/>
        </w:rPr>
      </w:pPr>
      <w:r>
        <w:rPr>
          <w:u w:val="single"/>
        </w:rPr>
        <w:t>Private practice roll-ups.</w:t>
      </w:r>
    </w:p>
    <w:p w14:paraId="4305FACF" w14:textId="64035B4C" w:rsidR="00A221F3" w:rsidRDefault="00A221F3" w:rsidP="00A221F3">
      <w:pPr>
        <w:pStyle w:val="chapter"/>
        <w:numPr>
          <w:ilvl w:val="0"/>
          <w:numId w:val="1"/>
        </w:numPr>
        <w:suppressLineNumbers w:val="0"/>
        <w:jc w:val="left"/>
        <w:rPr>
          <w:u w:val="single"/>
        </w:rPr>
      </w:pPr>
      <w:r>
        <w:rPr>
          <w:u w:val="single"/>
        </w:rPr>
        <w:t>Changes in majority owner equity stakes.</w:t>
      </w:r>
    </w:p>
    <w:p w14:paraId="4D305D0E" w14:textId="77777777" w:rsidR="00A221F3" w:rsidRPr="00A221F3" w:rsidRDefault="00A221F3" w:rsidP="00A221F3">
      <w:pPr>
        <w:pStyle w:val="chapter"/>
        <w:suppressLineNumbers w:val="0"/>
        <w:jc w:val="left"/>
        <w:rPr>
          <w:u w:val="single"/>
        </w:rPr>
      </w:pPr>
    </w:p>
    <w:p w14:paraId="68316D21" w14:textId="77777777" w:rsidR="00E77619" w:rsidRDefault="00BA5BB9">
      <w:pPr>
        <w:pStyle w:val="sectionheading"/>
        <w:suppressLineNumbers w:val="0"/>
        <w:rPr>
          <w:u w:val="single"/>
        </w:rPr>
      </w:pPr>
      <w:bookmarkStart w:id="19" w:name="4.17"/>
      <w:r>
        <w:rPr>
          <w:u w:val="single"/>
        </w:rPr>
        <w:t>Section 802-C.  Acquisition of health systems against the public</w:t>
      </w:r>
      <w:bookmarkEnd w:id="19"/>
      <w:r>
        <w:rPr>
          <w:u w:val="single"/>
        </w:rPr>
        <w:t xml:space="preserve"> </w:t>
      </w:r>
      <w:bookmarkStart w:id="20" w:name="4.18"/>
      <w:r>
        <w:rPr>
          <w:u w:val="single"/>
        </w:rPr>
        <w:t>interest.</w:t>
      </w:r>
      <w:bookmarkEnd w:id="20"/>
    </w:p>
    <w:p w14:paraId="4B348173" w14:textId="147CBFC5" w:rsidR="00E77619" w:rsidRDefault="00BA5BB9" w:rsidP="00EA117B">
      <w:pPr>
        <w:pStyle w:val="subsection"/>
        <w:numPr>
          <w:ilvl w:val="0"/>
          <w:numId w:val="2"/>
        </w:numPr>
        <w:rPr>
          <w:u w:val="single"/>
        </w:rPr>
      </w:pPr>
      <w:bookmarkStart w:id="21" w:name="4.19"/>
      <w:r>
        <w:rPr>
          <w:u w:val="single"/>
        </w:rPr>
        <w:t xml:space="preserve">General </w:t>
      </w:r>
      <w:proofErr w:type="gramStart"/>
      <w:r>
        <w:rPr>
          <w:u w:val="single"/>
        </w:rPr>
        <w:t>rule.--</w:t>
      </w:r>
      <w:bookmarkStart w:id="22" w:name="4.20"/>
      <w:bookmarkEnd w:id="21"/>
      <w:proofErr w:type="gramEnd"/>
      <w:r w:rsidR="00EA117B">
        <w:rPr>
          <w:u w:val="single"/>
        </w:rPr>
        <w:t>N</w:t>
      </w:r>
      <w:r>
        <w:rPr>
          <w:u w:val="single"/>
        </w:rPr>
        <w:t>o person shall sell, transfer, lease, exchange, option or</w:t>
      </w:r>
      <w:bookmarkEnd w:id="22"/>
      <w:r>
        <w:rPr>
          <w:u w:val="single"/>
        </w:rPr>
        <w:t xml:space="preserve"> </w:t>
      </w:r>
      <w:bookmarkStart w:id="23" w:name="4.21"/>
      <w:r>
        <w:rPr>
          <w:u w:val="single"/>
        </w:rPr>
        <w:t>otherwise encumber a</w:t>
      </w:r>
      <w:r w:rsidR="00EA117B">
        <w:rPr>
          <w:u w:val="single"/>
        </w:rPr>
        <w:t xml:space="preserve">n amount of equal to $10,000,000 or more </w:t>
      </w:r>
      <w:r>
        <w:rPr>
          <w:u w:val="single"/>
        </w:rPr>
        <w:t>of a health system's assets</w:t>
      </w:r>
      <w:bookmarkEnd w:id="23"/>
      <w:r>
        <w:rPr>
          <w:u w:val="single"/>
        </w:rPr>
        <w:t xml:space="preserve"> </w:t>
      </w:r>
      <w:bookmarkStart w:id="24" w:name="4.22"/>
      <w:r>
        <w:rPr>
          <w:u w:val="single"/>
        </w:rPr>
        <w:t>or operations in a manner that is against the public interest.</w:t>
      </w:r>
      <w:bookmarkEnd w:id="24"/>
    </w:p>
    <w:p w14:paraId="5B618DF2" w14:textId="333D9276" w:rsidR="00EA117B" w:rsidRDefault="00EA117B" w:rsidP="00EA117B">
      <w:pPr>
        <w:pStyle w:val="subsection"/>
        <w:numPr>
          <w:ilvl w:val="0"/>
          <w:numId w:val="2"/>
        </w:numPr>
        <w:rPr>
          <w:u w:val="single"/>
        </w:rPr>
      </w:pPr>
      <w:r>
        <w:rPr>
          <w:u w:val="single"/>
        </w:rPr>
        <w:t>Against public interest is defined as w</w:t>
      </w:r>
      <w:r>
        <w:rPr>
          <w:u w:val="single"/>
        </w:rPr>
        <w:t>here the effect of an action includes, as determined by the Attorney General, any of the following impacts:</w:t>
      </w:r>
    </w:p>
    <w:p w14:paraId="488F72C7" w14:textId="77777777" w:rsidR="00EA117B" w:rsidRDefault="00EA117B" w:rsidP="00EA117B">
      <w:pPr>
        <w:pStyle w:val="paragraph"/>
        <w:suppressLineNumbers w:val="0"/>
        <w:ind w:left="1157" w:firstLine="0"/>
        <w:rPr>
          <w:u w:val="single"/>
        </w:rPr>
      </w:pPr>
      <w:r>
        <w:rPr>
          <w:u w:val="single"/>
        </w:rPr>
        <w:t xml:space="preserve">(1)  Reduced competition or increased costs for health care payers, </w:t>
      </w:r>
      <w:proofErr w:type="gramStart"/>
      <w:r>
        <w:rPr>
          <w:u w:val="single"/>
        </w:rPr>
        <w:t>purchasers</w:t>
      </w:r>
      <w:proofErr w:type="gramEnd"/>
      <w:r>
        <w:rPr>
          <w:u w:val="single"/>
        </w:rPr>
        <w:t xml:space="preserve"> or consumers.</w:t>
      </w:r>
    </w:p>
    <w:p w14:paraId="42330B6B" w14:textId="77777777" w:rsidR="00EA117B" w:rsidRDefault="00EA117B" w:rsidP="00EA117B">
      <w:pPr>
        <w:pStyle w:val="paragraph"/>
        <w:suppressLineNumbers w:val="0"/>
        <w:ind w:left="1157" w:firstLine="0"/>
        <w:rPr>
          <w:u w:val="single"/>
        </w:rPr>
      </w:pPr>
      <w:r>
        <w:rPr>
          <w:u w:val="single"/>
        </w:rPr>
        <w:t>(2)  Unfair methods of competition in or affecting health care commerce or unfair or deceptive acts or practices in or affecting health care commerce.</w:t>
      </w:r>
    </w:p>
    <w:p w14:paraId="3B49DA85" w14:textId="77777777" w:rsidR="00EA117B" w:rsidRDefault="00EA117B" w:rsidP="00EA117B">
      <w:pPr>
        <w:pStyle w:val="paragraph"/>
        <w:suppressLineNumbers w:val="0"/>
        <w:ind w:left="1157" w:firstLine="0"/>
        <w:rPr>
          <w:u w:val="single"/>
        </w:rPr>
      </w:pPr>
      <w:r>
        <w:rPr>
          <w:u w:val="single"/>
        </w:rPr>
        <w:t>(3)  Reduced quality of care, including the ability to offer culturally competent and appropriate care.</w:t>
      </w:r>
    </w:p>
    <w:p w14:paraId="1B50E135" w14:textId="77777777" w:rsidR="00EA117B" w:rsidRDefault="00EA117B" w:rsidP="00EA117B">
      <w:pPr>
        <w:pStyle w:val="paragraph"/>
        <w:suppressLineNumbers w:val="0"/>
        <w:ind w:left="1157" w:firstLine="0"/>
        <w:rPr>
          <w:u w:val="single"/>
        </w:rPr>
      </w:pPr>
      <w:r>
        <w:rPr>
          <w:u w:val="single"/>
        </w:rPr>
        <w:t xml:space="preserve">(4)  Reduced access to or availability of health care for payers, </w:t>
      </w:r>
      <w:proofErr w:type="gramStart"/>
      <w:r>
        <w:rPr>
          <w:u w:val="single"/>
        </w:rPr>
        <w:t>purchasers</w:t>
      </w:r>
      <w:proofErr w:type="gramEnd"/>
      <w:r>
        <w:rPr>
          <w:u w:val="single"/>
        </w:rPr>
        <w:t xml:space="preserve"> or consumers.</w:t>
      </w:r>
    </w:p>
    <w:p w14:paraId="08DC6D46" w14:textId="77777777" w:rsidR="00EA117B" w:rsidRDefault="00EA117B" w:rsidP="00EA117B">
      <w:pPr>
        <w:pStyle w:val="paragraph"/>
        <w:suppressLineNumbers w:val="0"/>
        <w:ind w:left="1157" w:firstLine="0"/>
        <w:rPr>
          <w:u w:val="single"/>
        </w:rPr>
      </w:pPr>
      <w:r>
        <w:rPr>
          <w:u w:val="single"/>
        </w:rPr>
        <w:t xml:space="preserve">(5)  Reduced access to care in a rural, </w:t>
      </w:r>
      <w:proofErr w:type="gramStart"/>
      <w:r>
        <w:rPr>
          <w:u w:val="single"/>
        </w:rPr>
        <w:t>low-income</w:t>
      </w:r>
      <w:proofErr w:type="gramEnd"/>
      <w:r>
        <w:rPr>
          <w:u w:val="single"/>
        </w:rPr>
        <w:t xml:space="preserve"> or disadvantaged community.</w:t>
      </w:r>
    </w:p>
    <w:p w14:paraId="14546E23" w14:textId="68F3A89F" w:rsidR="00E77619" w:rsidRDefault="00BA5BB9" w:rsidP="00EA117B">
      <w:pPr>
        <w:pStyle w:val="subsection"/>
        <w:numPr>
          <w:ilvl w:val="0"/>
          <w:numId w:val="2"/>
        </w:numPr>
        <w:rPr>
          <w:u w:val="single"/>
        </w:rPr>
      </w:pPr>
      <w:bookmarkStart w:id="25" w:name="4.23"/>
      <w:proofErr w:type="gramStart"/>
      <w:r w:rsidRPr="00EA117B">
        <w:rPr>
          <w:u w:val="single"/>
        </w:rPr>
        <w:t>Exception.--</w:t>
      </w:r>
      <w:proofErr w:type="gramEnd"/>
      <w:r w:rsidRPr="00EA117B">
        <w:rPr>
          <w:u w:val="single"/>
        </w:rPr>
        <w:t>An action prohibited under subsection (a)</w:t>
      </w:r>
      <w:bookmarkEnd w:id="25"/>
      <w:r w:rsidRPr="00EA117B">
        <w:rPr>
          <w:u w:val="single"/>
        </w:rPr>
        <w:t xml:space="preserve"> </w:t>
      </w:r>
      <w:bookmarkStart w:id="26" w:name="4.24"/>
      <w:r w:rsidRPr="00EA117B">
        <w:rPr>
          <w:u w:val="single"/>
        </w:rPr>
        <w:t>may be permitted when, as determined by the Attorney General,</w:t>
      </w:r>
      <w:bookmarkEnd w:id="26"/>
      <w:r w:rsidRPr="00EA117B">
        <w:rPr>
          <w:u w:val="single"/>
        </w:rPr>
        <w:t xml:space="preserve"> </w:t>
      </w:r>
      <w:bookmarkStart w:id="27" w:name="4.25"/>
      <w:r w:rsidRPr="00EA117B">
        <w:rPr>
          <w:u w:val="single"/>
        </w:rPr>
        <w:t>there is no feasible alternative to prevent a health system's</w:t>
      </w:r>
      <w:bookmarkEnd w:id="27"/>
      <w:r w:rsidRPr="00EA117B">
        <w:rPr>
          <w:u w:val="single"/>
        </w:rPr>
        <w:t xml:space="preserve"> </w:t>
      </w:r>
      <w:bookmarkStart w:id="28" w:name="4.26"/>
      <w:r w:rsidRPr="00EA117B">
        <w:rPr>
          <w:u w:val="single"/>
        </w:rPr>
        <w:t xml:space="preserve">closure or greater loss of health </w:t>
      </w:r>
      <w:r w:rsidRPr="00EA117B">
        <w:rPr>
          <w:u w:val="single"/>
        </w:rPr>
        <w:lastRenderedPageBreak/>
        <w:t>services.</w:t>
      </w:r>
      <w:bookmarkEnd w:id="28"/>
    </w:p>
    <w:p w14:paraId="10B44A7C" w14:textId="77777777" w:rsidR="00EA117B" w:rsidRPr="00EA117B" w:rsidRDefault="00EA117B" w:rsidP="00EA117B">
      <w:pPr>
        <w:pStyle w:val="subsection"/>
        <w:ind w:firstLine="0"/>
        <w:rPr>
          <w:u w:val="single"/>
        </w:rPr>
      </w:pPr>
    </w:p>
    <w:p w14:paraId="0611E3C6" w14:textId="579D30E9" w:rsidR="00E77619" w:rsidRDefault="00BA5BB9">
      <w:pPr>
        <w:pStyle w:val="sectionheading"/>
        <w:rPr>
          <w:u w:val="single"/>
        </w:rPr>
      </w:pPr>
      <w:bookmarkStart w:id="29" w:name="8.19"/>
      <w:r>
        <w:rPr>
          <w:u w:val="single"/>
        </w:rPr>
        <w:t>Section 80</w:t>
      </w:r>
      <w:r w:rsidR="00EA117B">
        <w:rPr>
          <w:u w:val="single"/>
        </w:rPr>
        <w:t>3</w:t>
      </w:r>
      <w:r>
        <w:rPr>
          <w:u w:val="single"/>
        </w:rPr>
        <w:t>-C.  Public hearings and notice.</w:t>
      </w:r>
      <w:bookmarkEnd w:id="29"/>
    </w:p>
    <w:p w14:paraId="19A4A0CD" w14:textId="23C4A749" w:rsidR="00E77619" w:rsidRDefault="00BA5BB9">
      <w:pPr>
        <w:pStyle w:val="subsection"/>
        <w:rPr>
          <w:u w:val="single"/>
        </w:rPr>
      </w:pPr>
      <w:bookmarkStart w:id="30" w:name="8.25"/>
      <w:r>
        <w:rPr>
          <w:u w:val="single"/>
        </w:rPr>
        <w:t>(</w:t>
      </w:r>
      <w:r w:rsidR="00EA117B">
        <w:rPr>
          <w:u w:val="single"/>
        </w:rPr>
        <w:t>a</w:t>
      </w:r>
      <w:r>
        <w:rPr>
          <w:u w:val="single"/>
        </w:rPr>
        <w:t xml:space="preserve">)  </w:t>
      </w:r>
      <w:proofErr w:type="gramStart"/>
      <w:r>
        <w:rPr>
          <w:u w:val="single"/>
        </w:rPr>
        <w:t>Format.</w:t>
      </w:r>
      <w:r w:rsidR="00EA117B">
        <w:rPr>
          <w:u w:val="single"/>
        </w:rPr>
        <w:t>—</w:t>
      </w:r>
      <w:proofErr w:type="gramEnd"/>
      <w:r w:rsidR="00EA117B">
        <w:rPr>
          <w:u w:val="single"/>
        </w:rPr>
        <w:t>Within 30 days of a for-profit health system filing notice and documentation, a</w:t>
      </w:r>
      <w:r>
        <w:rPr>
          <w:u w:val="single"/>
        </w:rPr>
        <w:t xml:space="preserve"> public hearing </w:t>
      </w:r>
      <w:r w:rsidR="00EA117B">
        <w:rPr>
          <w:u w:val="single"/>
        </w:rPr>
        <w:t xml:space="preserve">is </w:t>
      </w:r>
      <w:r>
        <w:rPr>
          <w:u w:val="single"/>
        </w:rPr>
        <w:t xml:space="preserve">required </w:t>
      </w:r>
      <w:bookmarkStart w:id="31" w:name="8.26"/>
      <w:bookmarkEnd w:id="30"/>
      <w:r w:rsidR="00EA117B">
        <w:rPr>
          <w:u w:val="single"/>
        </w:rPr>
        <w:t xml:space="preserve">by the Attorney General, and </w:t>
      </w:r>
      <w:r>
        <w:rPr>
          <w:u w:val="single"/>
        </w:rPr>
        <w:t>shall be live-streamed on the Attorney General's publicly</w:t>
      </w:r>
      <w:bookmarkEnd w:id="31"/>
      <w:r>
        <w:rPr>
          <w:u w:val="single"/>
        </w:rPr>
        <w:t xml:space="preserve"> </w:t>
      </w:r>
      <w:bookmarkStart w:id="32" w:name="8.27"/>
      <w:r>
        <w:rPr>
          <w:u w:val="single"/>
        </w:rPr>
        <w:t>accessible Internet website. A video recording of the public</w:t>
      </w:r>
      <w:bookmarkEnd w:id="32"/>
      <w:r>
        <w:rPr>
          <w:u w:val="single"/>
        </w:rPr>
        <w:t xml:space="preserve"> </w:t>
      </w:r>
      <w:bookmarkStart w:id="33" w:name="8.28"/>
      <w:r>
        <w:rPr>
          <w:u w:val="single"/>
        </w:rPr>
        <w:t>hearing shall be posted on the Attorney General's publicly</w:t>
      </w:r>
      <w:bookmarkEnd w:id="33"/>
      <w:r>
        <w:rPr>
          <w:u w:val="single"/>
        </w:rPr>
        <w:t xml:space="preserve"> </w:t>
      </w:r>
      <w:bookmarkStart w:id="34" w:name="8.29"/>
      <w:r>
        <w:rPr>
          <w:u w:val="single"/>
        </w:rPr>
        <w:t>accessible Internet website.</w:t>
      </w:r>
      <w:bookmarkEnd w:id="34"/>
    </w:p>
    <w:p w14:paraId="5BB990BE" w14:textId="19CFA94A" w:rsidR="00E77619" w:rsidRDefault="00BA5BB9">
      <w:pPr>
        <w:pStyle w:val="subsection"/>
        <w:rPr>
          <w:u w:val="single"/>
        </w:rPr>
      </w:pPr>
      <w:bookmarkStart w:id="35" w:name="8.30"/>
      <w:r>
        <w:rPr>
          <w:u w:val="single"/>
        </w:rPr>
        <w:t>(</w:t>
      </w:r>
      <w:r w:rsidR="00EA117B">
        <w:rPr>
          <w:u w:val="single"/>
        </w:rPr>
        <w:t>b</w:t>
      </w:r>
      <w:r>
        <w:rPr>
          <w:u w:val="single"/>
        </w:rPr>
        <w:t xml:space="preserve">)  Specific </w:t>
      </w:r>
      <w:proofErr w:type="gramStart"/>
      <w:r>
        <w:rPr>
          <w:u w:val="single"/>
        </w:rPr>
        <w:t>entities.--</w:t>
      </w:r>
      <w:proofErr w:type="gramEnd"/>
      <w:r>
        <w:rPr>
          <w:u w:val="single"/>
        </w:rPr>
        <w:t>If any agreement or transaction</w:t>
      </w:r>
      <w:bookmarkEnd w:id="35"/>
      <w:r>
        <w:rPr>
          <w:u w:val="single"/>
        </w:rPr>
        <w:t xml:space="preserve"> </w:t>
      </w:r>
      <w:bookmarkStart w:id="36" w:name="9.01"/>
      <w:r>
        <w:rPr>
          <w:u w:val="single"/>
        </w:rPr>
        <w:t>involves acquiring a medical group or a hospital or hospital</w:t>
      </w:r>
      <w:bookmarkEnd w:id="36"/>
      <w:r>
        <w:rPr>
          <w:u w:val="single"/>
        </w:rPr>
        <w:t xml:space="preserve"> </w:t>
      </w:r>
      <w:bookmarkStart w:id="37" w:name="9.02"/>
      <w:r>
        <w:rPr>
          <w:u w:val="single"/>
        </w:rPr>
        <w:t>system, or any portion of the acquired entity, the Attorney</w:t>
      </w:r>
      <w:bookmarkEnd w:id="37"/>
      <w:r>
        <w:rPr>
          <w:u w:val="single"/>
        </w:rPr>
        <w:t xml:space="preserve"> </w:t>
      </w:r>
      <w:bookmarkStart w:id="38" w:name="9.03"/>
      <w:r>
        <w:rPr>
          <w:u w:val="single"/>
        </w:rPr>
        <w:t>General shall hold a public hearing in any county in which the</w:t>
      </w:r>
      <w:bookmarkEnd w:id="38"/>
      <w:r>
        <w:rPr>
          <w:u w:val="single"/>
        </w:rPr>
        <w:t xml:space="preserve"> </w:t>
      </w:r>
      <w:bookmarkStart w:id="39" w:name="9.04"/>
      <w:r>
        <w:rPr>
          <w:u w:val="single"/>
        </w:rPr>
        <w:t>acquired entity is located to hear comments from interested</w:t>
      </w:r>
      <w:bookmarkEnd w:id="39"/>
      <w:r>
        <w:rPr>
          <w:u w:val="single"/>
        </w:rPr>
        <w:t xml:space="preserve"> </w:t>
      </w:r>
      <w:bookmarkStart w:id="40" w:name="9.05"/>
      <w:r>
        <w:rPr>
          <w:u w:val="single"/>
        </w:rPr>
        <w:t>parties. Interested parties shall include, but are not limited</w:t>
      </w:r>
      <w:bookmarkEnd w:id="40"/>
      <w:r>
        <w:rPr>
          <w:u w:val="single"/>
        </w:rPr>
        <w:t xml:space="preserve"> </w:t>
      </w:r>
      <w:bookmarkStart w:id="41" w:name="9.06"/>
      <w:r>
        <w:rPr>
          <w:u w:val="single"/>
        </w:rPr>
        <w:t>to, legal aid and health advocacy organizations within a county</w:t>
      </w:r>
      <w:bookmarkEnd w:id="41"/>
      <w:r>
        <w:rPr>
          <w:u w:val="single"/>
        </w:rPr>
        <w:t xml:space="preserve"> </w:t>
      </w:r>
      <w:bookmarkStart w:id="42" w:name="9.07"/>
      <w:r>
        <w:rPr>
          <w:u w:val="single"/>
        </w:rPr>
        <w:t>in which the acquired entity is located.</w:t>
      </w:r>
      <w:bookmarkEnd w:id="42"/>
    </w:p>
    <w:p w14:paraId="64EA1CDF" w14:textId="260468AA" w:rsidR="00E77619" w:rsidRDefault="00BA5BB9" w:rsidP="00EA117B">
      <w:pPr>
        <w:pStyle w:val="subsection"/>
        <w:rPr>
          <w:u w:val="single"/>
        </w:rPr>
      </w:pPr>
      <w:bookmarkStart w:id="43" w:name="9.08"/>
      <w:r>
        <w:rPr>
          <w:u w:val="single"/>
        </w:rPr>
        <w:t>(</w:t>
      </w:r>
      <w:r w:rsidR="00EA117B">
        <w:rPr>
          <w:u w:val="single"/>
        </w:rPr>
        <w:t>c</w:t>
      </w:r>
      <w:r>
        <w:rPr>
          <w:u w:val="single"/>
        </w:rPr>
        <w:t xml:space="preserve">)  </w:t>
      </w:r>
      <w:proofErr w:type="gramStart"/>
      <w:r>
        <w:rPr>
          <w:u w:val="single"/>
        </w:rPr>
        <w:t>Notice.--</w:t>
      </w:r>
      <w:proofErr w:type="gramEnd"/>
      <w:r>
        <w:rPr>
          <w:u w:val="single"/>
        </w:rPr>
        <w:t>A</w:t>
      </w:r>
      <w:r>
        <w:rPr>
          <w:u w:val="single"/>
        </w:rPr>
        <w:t>t least 14 days before the date of the public</w:t>
      </w:r>
      <w:bookmarkEnd w:id="43"/>
      <w:r>
        <w:rPr>
          <w:u w:val="single"/>
        </w:rPr>
        <w:t xml:space="preserve"> </w:t>
      </w:r>
      <w:bookmarkStart w:id="44" w:name="9.09"/>
      <w:r>
        <w:rPr>
          <w:u w:val="single"/>
        </w:rPr>
        <w:t>hearing, the Attorney General shall provide written notice of</w:t>
      </w:r>
      <w:bookmarkEnd w:id="44"/>
      <w:r>
        <w:rPr>
          <w:u w:val="single"/>
        </w:rPr>
        <w:t xml:space="preserve"> </w:t>
      </w:r>
      <w:bookmarkStart w:id="45" w:name="9.10"/>
      <w:r>
        <w:rPr>
          <w:u w:val="single"/>
        </w:rPr>
        <w:t>the time and place of the public hearing</w:t>
      </w:r>
      <w:bookmarkEnd w:id="45"/>
      <w:r w:rsidR="00EA117B">
        <w:rPr>
          <w:u w:val="single"/>
        </w:rPr>
        <w:t>.</w:t>
      </w:r>
    </w:p>
    <w:p w14:paraId="4E3CF389" w14:textId="77777777" w:rsidR="00EA117B" w:rsidRDefault="00EA117B" w:rsidP="00EA117B">
      <w:pPr>
        <w:pStyle w:val="subsection"/>
        <w:rPr>
          <w:u w:val="single"/>
        </w:rPr>
      </w:pPr>
    </w:p>
    <w:p w14:paraId="5164B7C9" w14:textId="3DE4573F" w:rsidR="00E77619" w:rsidRDefault="00BA5BB9">
      <w:pPr>
        <w:pStyle w:val="sectionheading"/>
        <w:rPr>
          <w:u w:val="single"/>
        </w:rPr>
      </w:pPr>
      <w:bookmarkStart w:id="46" w:name="9.23"/>
      <w:r>
        <w:rPr>
          <w:u w:val="single"/>
        </w:rPr>
        <w:t>Section 80</w:t>
      </w:r>
      <w:r w:rsidR="00EA117B">
        <w:rPr>
          <w:u w:val="single"/>
        </w:rPr>
        <w:t>4</w:t>
      </w:r>
      <w:r>
        <w:rPr>
          <w:u w:val="single"/>
        </w:rPr>
        <w:t xml:space="preserve">-C.  Determination and restraining </w:t>
      </w:r>
      <w:r>
        <w:rPr>
          <w:u w:val="single"/>
        </w:rPr>
        <w:t>prohibited</w:t>
      </w:r>
      <w:bookmarkEnd w:id="46"/>
      <w:r>
        <w:rPr>
          <w:u w:val="single"/>
        </w:rPr>
        <w:t xml:space="preserve"> </w:t>
      </w:r>
      <w:bookmarkStart w:id="47" w:name="9.24"/>
      <w:r>
        <w:rPr>
          <w:u w:val="single"/>
        </w:rPr>
        <w:t>transactions.</w:t>
      </w:r>
      <w:bookmarkEnd w:id="47"/>
    </w:p>
    <w:p w14:paraId="1FEB8638" w14:textId="380DEF0C" w:rsidR="00E77619" w:rsidRDefault="00BA5BB9">
      <w:pPr>
        <w:pStyle w:val="subsection"/>
        <w:rPr>
          <w:u w:val="single"/>
        </w:rPr>
      </w:pPr>
      <w:bookmarkStart w:id="48" w:name="9.25"/>
      <w:r>
        <w:rPr>
          <w:u w:val="single"/>
        </w:rPr>
        <w:t xml:space="preserve">(a)  </w:t>
      </w:r>
      <w:proofErr w:type="gramStart"/>
      <w:r>
        <w:rPr>
          <w:u w:val="single"/>
        </w:rPr>
        <w:t>Determination.</w:t>
      </w:r>
      <w:r w:rsidR="00EA117B">
        <w:rPr>
          <w:u w:val="single"/>
        </w:rPr>
        <w:t>—</w:t>
      </w:r>
      <w:bookmarkEnd w:id="48"/>
      <w:proofErr w:type="gramEnd"/>
      <w:r w:rsidR="00EA117B">
        <w:rPr>
          <w:u w:val="single"/>
        </w:rPr>
        <w:t>Within 30 days of the public hearing,</w:t>
      </w:r>
      <w:r>
        <w:rPr>
          <w:u w:val="single"/>
        </w:rPr>
        <w:t xml:space="preserve"> </w:t>
      </w:r>
      <w:bookmarkStart w:id="49" w:name="9.28"/>
      <w:r>
        <w:rPr>
          <w:u w:val="single"/>
        </w:rPr>
        <w:t>the Attorney General shall determine whether the proposed</w:t>
      </w:r>
      <w:bookmarkEnd w:id="49"/>
      <w:r>
        <w:rPr>
          <w:u w:val="single"/>
        </w:rPr>
        <w:t xml:space="preserve"> </w:t>
      </w:r>
      <w:bookmarkStart w:id="50" w:name="9.29"/>
      <w:r>
        <w:rPr>
          <w:u w:val="single"/>
        </w:rPr>
        <w:t>agreement or transaction may be against the public interest.</w:t>
      </w:r>
      <w:bookmarkEnd w:id="50"/>
    </w:p>
    <w:p w14:paraId="2988D0E9" w14:textId="686FE5B9" w:rsidR="00E77619" w:rsidRDefault="00BA5BB9">
      <w:pPr>
        <w:pStyle w:val="subsection"/>
        <w:rPr>
          <w:u w:val="single"/>
        </w:rPr>
      </w:pPr>
      <w:bookmarkStart w:id="51" w:name="9.30"/>
      <w:r>
        <w:rPr>
          <w:u w:val="single"/>
        </w:rPr>
        <w:t xml:space="preserve">(b)  </w:t>
      </w:r>
      <w:proofErr w:type="gramStart"/>
      <w:r>
        <w:rPr>
          <w:u w:val="single"/>
        </w:rPr>
        <w:t>Action.--</w:t>
      </w:r>
      <w:proofErr w:type="gramEnd"/>
      <w:r>
        <w:rPr>
          <w:u w:val="single"/>
        </w:rPr>
        <w:t>If the Attorney General determines that the</w:t>
      </w:r>
      <w:bookmarkEnd w:id="51"/>
      <w:r>
        <w:rPr>
          <w:u w:val="single"/>
        </w:rPr>
        <w:t xml:space="preserve"> </w:t>
      </w:r>
      <w:bookmarkStart w:id="52" w:name="10.01"/>
      <w:r>
        <w:rPr>
          <w:u w:val="single"/>
        </w:rPr>
        <w:t>proposed agreement or transaction is against the public interest</w:t>
      </w:r>
      <w:bookmarkStart w:id="53" w:name="10.02"/>
      <w:bookmarkEnd w:id="52"/>
      <w:r>
        <w:rPr>
          <w:u w:val="single"/>
        </w:rPr>
        <w:t xml:space="preserve">, </w:t>
      </w:r>
      <w:r>
        <w:rPr>
          <w:u w:val="single"/>
        </w:rPr>
        <w:t>the Attorney General may commence an</w:t>
      </w:r>
      <w:bookmarkEnd w:id="53"/>
      <w:r>
        <w:rPr>
          <w:u w:val="single"/>
        </w:rPr>
        <w:t xml:space="preserve"> </w:t>
      </w:r>
      <w:bookmarkStart w:id="54" w:name="10.03"/>
      <w:r>
        <w:rPr>
          <w:u w:val="single"/>
        </w:rPr>
        <w:t xml:space="preserve">action in a court </w:t>
      </w:r>
      <w:r>
        <w:rPr>
          <w:u w:val="single"/>
        </w:rPr>
        <w:lastRenderedPageBreak/>
        <w:t>of competent jurisdiction to enjoin the</w:t>
      </w:r>
      <w:bookmarkEnd w:id="54"/>
      <w:r>
        <w:rPr>
          <w:u w:val="single"/>
        </w:rPr>
        <w:t xml:space="preserve"> </w:t>
      </w:r>
      <w:bookmarkStart w:id="55" w:name="10.04"/>
      <w:r>
        <w:rPr>
          <w:u w:val="single"/>
        </w:rPr>
        <w:t>agreement or transaction.</w:t>
      </w:r>
      <w:bookmarkEnd w:id="55"/>
    </w:p>
    <w:p w14:paraId="22D7F97F" w14:textId="77777777" w:rsidR="00BA5BB9" w:rsidRDefault="00BA5BB9">
      <w:pPr>
        <w:pStyle w:val="subsection"/>
        <w:rPr>
          <w:u w:val="single"/>
        </w:rPr>
      </w:pPr>
    </w:p>
    <w:p w14:paraId="00C347D3" w14:textId="7E8C2473" w:rsidR="00E77619" w:rsidRDefault="00BA5BB9">
      <w:pPr>
        <w:pStyle w:val="sectionheading"/>
        <w:rPr>
          <w:u w:val="single"/>
        </w:rPr>
      </w:pPr>
      <w:bookmarkStart w:id="56" w:name="10.05"/>
      <w:r>
        <w:rPr>
          <w:u w:val="single"/>
        </w:rPr>
        <w:t>Section 805</w:t>
      </w:r>
      <w:r>
        <w:rPr>
          <w:u w:val="single"/>
        </w:rPr>
        <w:t xml:space="preserve">-C.  Civil penalty, </w:t>
      </w:r>
      <w:proofErr w:type="gramStart"/>
      <w:r>
        <w:rPr>
          <w:u w:val="single"/>
        </w:rPr>
        <w:t>compliance</w:t>
      </w:r>
      <w:proofErr w:type="gramEnd"/>
      <w:r>
        <w:rPr>
          <w:u w:val="single"/>
        </w:rPr>
        <w:t xml:space="preserve"> and power of court.</w:t>
      </w:r>
      <w:bookmarkEnd w:id="56"/>
    </w:p>
    <w:p w14:paraId="5EA72093" w14:textId="77777777" w:rsidR="00E77619" w:rsidRDefault="00BA5BB9">
      <w:pPr>
        <w:pStyle w:val="subsection"/>
        <w:rPr>
          <w:u w:val="single"/>
        </w:rPr>
      </w:pPr>
      <w:bookmarkStart w:id="57" w:name="10.06"/>
      <w:r>
        <w:rPr>
          <w:u w:val="single"/>
        </w:rPr>
        <w:t>The following shall apply:</w:t>
      </w:r>
      <w:bookmarkEnd w:id="57"/>
    </w:p>
    <w:p w14:paraId="4C9986B6" w14:textId="08EE9FC1" w:rsidR="00E77619" w:rsidRDefault="00BA5BB9">
      <w:pPr>
        <w:pStyle w:val="paragraph"/>
        <w:rPr>
          <w:u w:val="single"/>
        </w:rPr>
      </w:pPr>
      <w:bookmarkStart w:id="58" w:name="10.07"/>
      <w:r>
        <w:rPr>
          <w:u w:val="single"/>
        </w:rPr>
        <w:t xml:space="preserve">(1)  </w:t>
      </w:r>
      <w:bookmarkEnd w:id="58"/>
      <w:r>
        <w:rPr>
          <w:u w:val="single"/>
        </w:rPr>
        <w:t xml:space="preserve">A </w:t>
      </w:r>
      <w:bookmarkStart w:id="59" w:name="10.10"/>
      <w:r>
        <w:rPr>
          <w:u w:val="single"/>
        </w:rPr>
        <w:t xml:space="preserve">for-profit health system </w:t>
      </w:r>
      <w:r>
        <w:rPr>
          <w:u w:val="single"/>
        </w:rPr>
        <w:t>who fails to comply with this chapter shall be subject to a</w:t>
      </w:r>
      <w:bookmarkEnd w:id="59"/>
      <w:r>
        <w:rPr>
          <w:u w:val="single"/>
        </w:rPr>
        <w:t xml:space="preserve"> </w:t>
      </w:r>
      <w:bookmarkStart w:id="60" w:name="10.11"/>
      <w:r>
        <w:rPr>
          <w:u w:val="single"/>
        </w:rPr>
        <w:t>fine of not less than $10,000 for each day of noncompliance.</w:t>
      </w:r>
      <w:bookmarkEnd w:id="60"/>
    </w:p>
    <w:p w14:paraId="74E8000D" w14:textId="77777777" w:rsidR="00BA5BB9" w:rsidRDefault="00BA5BB9">
      <w:pPr>
        <w:pStyle w:val="sectionheading"/>
        <w:rPr>
          <w:u w:val="single"/>
        </w:rPr>
      </w:pPr>
      <w:bookmarkStart w:id="61" w:name="10.25"/>
    </w:p>
    <w:p w14:paraId="3C9E1952" w14:textId="75B12590" w:rsidR="00E77619" w:rsidRDefault="00BA5BB9" w:rsidP="00BA5BB9">
      <w:pPr>
        <w:pStyle w:val="section"/>
        <w:ind w:firstLine="0"/>
      </w:pPr>
      <w:bookmarkStart w:id="62" w:name="12.10"/>
      <w:bookmarkEnd w:id="61"/>
      <w:r>
        <w:t>Section 806-C</w:t>
      </w:r>
      <w:r>
        <w:t>.  This act shall take effect in 60 days.</w:t>
      </w:r>
      <w:bookmarkEnd w:id="62"/>
    </w:p>
    <w:sectPr w:rsidR="00E77619">
      <w:type w:val="continuous"/>
      <w:pgSz w:w="12240" w:h="15840"/>
      <w:pgMar w:top="567" w:right="1474" w:bottom="1609" w:left="1474" w:header="720" w:footer="992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B0BDA" w14:textId="77777777" w:rsidR="00BA5BB9" w:rsidRDefault="00BA5BB9">
      <w:r>
        <w:separator/>
      </w:r>
    </w:p>
  </w:endnote>
  <w:endnote w:type="continuationSeparator" w:id="0">
    <w:p w14:paraId="618E6FA4" w14:textId="77777777" w:rsidR="00BA5BB9" w:rsidRDefault="00BA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3483" w14:textId="77777777" w:rsidR="00BA5BB9" w:rsidRDefault="00BA5BB9">
      <w:r>
        <w:rPr>
          <w:color w:val="000000"/>
        </w:rPr>
        <w:separator/>
      </w:r>
    </w:p>
  </w:footnote>
  <w:footnote w:type="continuationSeparator" w:id="0">
    <w:p w14:paraId="027C204D" w14:textId="77777777" w:rsidR="00BA5BB9" w:rsidRDefault="00BA5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03E26"/>
    <w:multiLevelType w:val="hybridMultilevel"/>
    <w:tmpl w:val="65886D6E"/>
    <w:lvl w:ilvl="0" w:tplc="C5A6F6D8">
      <w:start w:val="1"/>
      <w:numFmt w:val="upperLetter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2B632C"/>
    <w:multiLevelType w:val="hybridMultilevel"/>
    <w:tmpl w:val="D59C5B08"/>
    <w:lvl w:ilvl="0" w:tplc="18CE0B18">
      <w:start w:val="1"/>
      <w:numFmt w:val="lowerLetter"/>
      <w:lvlText w:val="(%1)"/>
      <w:lvlJc w:val="left"/>
      <w:pPr>
        <w:ind w:left="11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num w:numId="1" w16cid:durableId="1790778885">
    <w:abstractNumId w:val="0"/>
  </w:num>
  <w:num w:numId="2" w16cid:durableId="504982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7619"/>
    <w:rsid w:val="00803793"/>
    <w:rsid w:val="00A221F3"/>
    <w:rsid w:val="00BA5BB9"/>
    <w:rsid w:val="00E77619"/>
    <w:rsid w:val="00EA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1B7B8"/>
  <w15:docId w15:val="{F438EB81-384E-406F-A48C-58C9E7AF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Arial Unicode MS" w:hAnsi="Courier New" w:cs="Tahoma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ongtitle">
    <w:name w:val="longtitle"/>
    <w:basedOn w:val="Standard"/>
    <w:pPr>
      <w:suppressLineNumbers/>
      <w:spacing w:line="232" w:lineRule="exact"/>
      <w:ind w:left="437" w:hanging="437"/>
    </w:pPr>
  </w:style>
  <w:style w:type="paragraph" w:customStyle="1" w:styleId="section">
    <w:name w:val="section"/>
    <w:basedOn w:val="Standard"/>
    <w:pPr>
      <w:suppressLineNumbers/>
      <w:spacing w:line="461" w:lineRule="exact"/>
      <w:ind w:firstLine="437"/>
    </w:pPr>
  </w:style>
  <w:style w:type="paragraph" w:styleId="Footer">
    <w:name w:val="footer"/>
    <w:basedOn w:val="Standard"/>
    <w:pPr>
      <w:suppressLineNumbers/>
      <w:tabs>
        <w:tab w:val="center" w:pos="4617"/>
        <w:tab w:val="right" w:pos="9235"/>
      </w:tabs>
      <w:spacing w:line="232" w:lineRule="exact"/>
      <w:ind w:hanging="567"/>
    </w:pPr>
  </w:style>
  <w:style w:type="paragraph" w:customStyle="1" w:styleId="anact">
    <w:name w:val="anact"/>
    <w:basedOn w:val="Standard"/>
    <w:pPr>
      <w:suppressLineNumbers/>
      <w:spacing w:line="232" w:lineRule="exact"/>
      <w:jc w:val="center"/>
    </w:pPr>
  </w:style>
  <w:style w:type="paragraph" w:customStyle="1" w:styleId="resolvedclause">
    <w:name w:val="resolved_clause"/>
    <w:pPr>
      <w:suppressLineNumbers/>
      <w:snapToGrid w:val="0"/>
      <w:spacing w:line="465" w:lineRule="exact"/>
      <w:ind w:firstLine="437"/>
      <w:textAlignment w:val="auto"/>
    </w:pPr>
    <w:rPr>
      <w:lang/>
      <w:eastAsianLayout/>
    </w:rPr>
  </w:style>
  <w:style w:type="paragraph" w:customStyle="1" w:styleId="sectionheading">
    <w:name w:val="section_heading"/>
    <w:pPr>
      <w:suppressLineNumbers/>
      <w:snapToGrid w:val="0"/>
      <w:spacing w:line="465" w:lineRule="exact"/>
      <w:ind w:left="1593" w:hanging="1593"/>
      <w:textAlignment w:val="auto"/>
    </w:pPr>
    <w:rPr>
      <w:lang/>
      <w:eastAsianLayout/>
    </w:rPr>
  </w:style>
  <w:style w:type="paragraph" w:customStyle="1" w:styleId="enacts">
    <w:name w:val="enacts"/>
    <w:pPr>
      <w:suppressLineNumbers/>
      <w:snapToGrid w:val="0"/>
      <w:spacing w:line="465" w:lineRule="exact"/>
      <w:ind w:firstLine="432"/>
      <w:textAlignment w:val="auto"/>
    </w:pPr>
    <w:rPr>
      <w:lang/>
      <w:eastAsianLayout/>
    </w:rPr>
  </w:style>
  <w:style w:type="paragraph" w:customStyle="1" w:styleId="preamble">
    <w:name w:val="preamble"/>
    <w:pPr>
      <w:suppressLineNumbers/>
      <w:snapToGrid w:val="0"/>
      <w:spacing w:line="465" w:lineRule="exact"/>
      <w:ind w:firstLine="437"/>
      <w:textAlignment w:val="auto"/>
    </w:pPr>
    <w:rPr>
      <w:lang/>
      <w:eastAsianLayout/>
    </w:rPr>
  </w:style>
  <w:style w:type="paragraph" w:customStyle="1" w:styleId="effectivedate">
    <w:name w:val="effectivedate"/>
    <w:pPr>
      <w:suppressLineNumbers/>
      <w:snapToGrid w:val="0"/>
      <w:spacing w:line="465" w:lineRule="exact"/>
      <w:ind w:firstLine="437"/>
      <w:textAlignment w:val="auto"/>
    </w:pPr>
    <w:rPr>
      <w:lang/>
      <w:eastAsianLayout/>
    </w:rPr>
  </w:style>
  <w:style w:type="paragraph" w:customStyle="1" w:styleId="session">
    <w:name w:val="session"/>
    <w:pPr>
      <w:suppressLineNumbers/>
      <w:snapToGrid w:val="0"/>
      <w:jc w:val="center"/>
      <w:textAlignment w:val="auto"/>
    </w:pPr>
    <w:rPr>
      <w:rFonts w:ascii="Arial" w:hAnsi="Arial"/>
      <w:sz w:val="28"/>
      <w:lang/>
      <w:eastAsianLayout/>
    </w:rPr>
  </w:style>
  <w:style w:type="paragraph" w:customStyle="1" w:styleId="subsection">
    <w:name w:val="subsection"/>
    <w:pPr>
      <w:suppressLineNumbers/>
      <w:snapToGrid w:val="0"/>
      <w:spacing w:line="465" w:lineRule="exact"/>
      <w:ind w:firstLine="437"/>
      <w:textAlignment w:val="auto"/>
    </w:pPr>
    <w:rPr>
      <w:lang/>
      <w:eastAsianLayout/>
    </w:rPr>
  </w:style>
  <w:style w:type="paragraph" w:customStyle="1" w:styleId="paragraph">
    <w:name w:val="paragraph"/>
    <w:pPr>
      <w:suppressLineNumbers/>
      <w:snapToGrid w:val="0"/>
      <w:spacing w:line="465" w:lineRule="exact"/>
      <w:ind w:left="437" w:firstLine="578"/>
      <w:textAlignment w:val="auto"/>
    </w:pPr>
    <w:rPr>
      <w:lang/>
      <w:eastAsianLayout/>
    </w:rPr>
  </w:style>
  <w:style w:type="paragraph" w:customStyle="1" w:styleId="subparagraph">
    <w:name w:val="subparagraph"/>
    <w:pPr>
      <w:suppressLineNumbers/>
      <w:snapToGrid w:val="0"/>
      <w:spacing w:line="465" w:lineRule="exact"/>
      <w:ind w:left="1015" w:firstLine="578"/>
      <w:textAlignment w:val="auto"/>
    </w:pPr>
    <w:rPr>
      <w:lang/>
      <w:eastAsianLayout/>
    </w:rPr>
  </w:style>
  <w:style w:type="paragraph" w:customStyle="1" w:styleId="clause">
    <w:name w:val="clause"/>
    <w:pPr>
      <w:suppressLineNumbers/>
      <w:snapToGrid w:val="0"/>
      <w:spacing w:line="465" w:lineRule="exact"/>
      <w:ind w:left="1593" w:firstLine="578"/>
      <w:textAlignment w:val="auto"/>
    </w:pPr>
    <w:rPr>
      <w:lang/>
      <w:eastAsianLayout/>
    </w:rPr>
  </w:style>
  <w:style w:type="paragraph" w:customStyle="1" w:styleId="subclause">
    <w:name w:val="subclause"/>
    <w:pPr>
      <w:suppressLineNumbers/>
      <w:snapToGrid w:val="0"/>
      <w:spacing w:line="465" w:lineRule="exact"/>
      <w:ind w:left="2171" w:firstLine="578"/>
      <w:textAlignment w:val="auto"/>
    </w:pPr>
    <w:rPr>
      <w:lang/>
      <w:eastAsianLayout/>
    </w:rPr>
  </w:style>
  <w:style w:type="paragraph" w:customStyle="1" w:styleId="chapter">
    <w:name w:val="chapter"/>
    <w:pPr>
      <w:suppressLineNumbers/>
      <w:snapToGrid w:val="0"/>
      <w:spacing w:line="465" w:lineRule="exact"/>
      <w:jc w:val="center"/>
      <w:textAlignment w:val="auto"/>
    </w:pPr>
    <w:rPr>
      <w:lang/>
      <w:eastAsianLayout/>
    </w:rPr>
  </w:style>
  <w:style w:type="paragraph" w:customStyle="1" w:styleId="part">
    <w:name w:val="part"/>
    <w:pPr>
      <w:suppressLineNumbers/>
      <w:snapToGrid w:val="0"/>
      <w:spacing w:line="465" w:lineRule="exact"/>
      <w:jc w:val="center"/>
      <w:textAlignment w:val="auto"/>
    </w:pPr>
    <w:rPr>
      <w:lang/>
      <w:eastAsianLayout/>
    </w:rPr>
  </w:style>
  <w:style w:type="paragraph" w:customStyle="1" w:styleId="subpart">
    <w:name w:val="subpart"/>
    <w:pPr>
      <w:suppressLineNumbers/>
      <w:snapToGrid w:val="0"/>
      <w:spacing w:line="465" w:lineRule="exact"/>
      <w:jc w:val="center"/>
      <w:textAlignment w:val="auto"/>
    </w:pPr>
    <w:rPr>
      <w:lang/>
      <w:eastAsianLayout/>
    </w:rPr>
  </w:style>
  <w:style w:type="paragraph" w:customStyle="1" w:styleId="article">
    <w:name w:val="article"/>
    <w:pPr>
      <w:suppressLineNumbers/>
      <w:snapToGrid w:val="0"/>
      <w:spacing w:line="465" w:lineRule="exact"/>
      <w:jc w:val="center"/>
      <w:textAlignment w:val="auto"/>
    </w:pPr>
    <w:rPr>
      <w:lang/>
      <w:eastAsianLayout/>
    </w:rPr>
  </w:style>
  <w:style w:type="paragraph" w:customStyle="1" w:styleId="division">
    <w:name w:val="division"/>
    <w:pPr>
      <w:suppressLineNumbers/>
      <w:snapToGrid w:val="0"/>
      <w:spacing w:line="465" w:lineRule="exact"/>
      <w:jc w:val="center"/>
      <w:textAlignment w:val="auto"/>
    </w:pPr>
    <w:rPr>
      <w:lang/>
      <w:eastAsianLayout/>
    </w:rPr>
  </w:style>
  <w:style w:type="paragraph" w:customStyle="1" w:styleId="subdivision">
    <w:name w:val="subdivision"/>
    <w:pPr>
      <w:suppressLineNumbers/>
      <w:snapToGrid w:val="0"/>
      <w:spacing w:line="465" w:lineRule="exact"/>
      <w:textAlignment w:val="auto"/>
    </w:pPr>
    <w:rPr>
      <w:lang/>
      <w:eastAsianLayout/>
    </w:rPr>
  </w:style>
  <w:style w:type="paragraph" w:customStyle="1" w:styleId="subchapter">
    <w:name w:val="subchapter"/>
    <w:pPr>
      <w:suppressLineNumbers/>
      <w:snapToGrid w:val="0"/>
      <w:spacing w:line="465" w:lineRule="exact"/>
      <w:jc w:val="center"/>
      <w:textAlignment w:val="auto"/>
    </w:pPr>
    <w:rPr>
      <w:lang/>
      <w:eastAsianLayout/>
    </w:rPr>
  </w:style>
  <w:style w:type="paragraph" w:customStyle="1" w:styleId="whereasclause">
    <w:name w:val="whereas_clause"/>
    <w:pPr>
      <w:suppressLineNumbers/>
      <w:snapToGrid w:val="0"/>
      <w:spacing w:line="465" w:lineRule="exact"/>
      <w:ind w:firstLine="437"/>
      <w:textAlignment w:val="auto"/>
    </w:pPr>
    <w:rPr>
      <w:lang/>
      <w:eastAsianLayout/>
    </w:rPr>
  </w:style>
  <w:style w:type="paragraph" w:customStyle="1" w:styleId="unit">
    <w:name w:val="unit"/>
    <w:pPr>
      <w:suppressLineNumbers/>
      <w:snapToGrid w:val="0"/>
      <w:spacing w:line="465" w:lineRule="exact"/>
      <w:ind w:left="2749" w:firstLine="578"/>
      <w:textAlignment w:val="auto"/>
    </w:pPr>
    <w:rPr>
      <w:lang/>
      <w:eastAsianLayout/>
    </w:rPr>
  </w:style>
  <w:style w:type="paragraph" w:customStyle="1" w:styleId="tableparagraph">
    <w:name w:val="table_paragraph"/>
    <w:pPr>
      <w:suppressLineNumbers/>
      <w:tabs>
        <w:tab w:val="left" w:pos="1423"/>
      </w:tabs>
      <w:snapToGrid w:val="0"/>
      <w:spacing w:line="465" w:lineRule="exact"/>
      <w:ind w:left="1569" w:hanging="557"/>
      <w:textAlignment w:val="auto"/>
    </w:pPr>
    <w:rPr>
      <w:lang/>
      <w:eastAsianLayout/>
    </w:rPr>
  </w:style>
  <w:style w:type="paragraph" w:customStyle="1" w:styleId="tablesection">
    <w:name w:val="table_section"/>
    <w:pPr>
      <w:suppressLineNumbers/>
      <w:snapToGrid w:val="0"/>
      <w:spacing w:line="465" w:lineRule="exact"/>
      <w:ind w:left="437" w:hanging="437"/>
      <w:textAlignment w:val="auto"/>
    </w:pPr>
    <w:rPr>
      <w:lang/>
      <w:eastAsianLayout/>
    </w:rPr>
  </w:style>
  <w:style w:type="paragraph" w:customStyle="1" w:styleId="tablesubparagraph">
    <w:name w:val="table_subparagraph"/>
    <w:pPr>
      <w:suppressLineNumbers/>
      <w:snapToGrid w:val="0"/>
      <w:spacing w:line="465" w:lineRule="exact"/>
      <w:ind w:left="2023" w:hanging="471"/>
      <w:textAlignment w:val="auto"/>
    </w:pPr>
    <w:rPr>
      <w:lang/>
      <w:eastAsianLayout/>
    </w:rPr>
  </w:style>
  <w:style w:type="paragraph" w:customStyle="1" w:styleId="tablesubclause">
    <w:name w:val="table_subclause"/>
    <w:pPr>
      <w:suppressLineNumbers/>
      <w:snapToGrid w:val="0"/>
      <w:spacing w:line="465" w:lineRule="exact"/>
      <w:ind w:left="3326" w:hanging="720"/>
      <w:textAlignment w:val="auto"/>
    </w:pPr>
    <w:rPr>
      <w:lang/>
      <w:eastAsianLayout/>
    </w:rPr>
  </w:style>
  <w:style w:type="paragraph" w:customStyle="1" w:styleId="tablesubsection">
    <w:name w:val="table_subsection"/>
    <w:pPr>
      <w:suppressLineNumbers/>
      <w:snapToGrid w:val="0"/>
      <w:spacing w:line="465" w:lineRule="exact"/>
      <w:ind w:left="1011" w:hanging="574"/>
      <w:textAlignment w:val="auto"/>
    </w:pPr>
    <w:rPr>
      <w:lang/>
      <w:eastAsianLayout/>
    </w:rPr>
  </w:style>
  <w:style w:type="paragraph" w:customStyle="1" w:styleId="tableclause">
    <w:name w:val="table_clause"/>
    <w:pPr>
      <w:suppressLineNumbers/>
      <w:tabs>
        <w:tab w:val="left" w:pos="3052"/>
      </w:tabs>
      <w:snapToGrid w:val="0"/>
      <w:spacing w:line="465" w:lineRule="exact"/>
      <w:ind w:left="2606" w:hanging="591"/>
      <w:textAlignment w:val="auto"/>
    </w:pPr>
    <w:rPr>
      <w:lang/>
      <w:eastAsianLayout/>
    </w:rPr>
  </w:style>
  <w:style w:type="paragraph" w:customStyle="1" w:styleId="HorizontalLine">
    <w:name w:val="Horizontal Line"/>
    <w:basedOn w:val="Standard"/>
    <w:pPr>
      <w:suppressLineNumbers/>
      <w:ind w:left="-340" w:right="-794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617"/>
        <w:tab w:val="right" w:pos="9235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615"/>
        <w:tab w:val="center" w:pos="4649"/>
        <w:tab w:val="right" w:pos="9235"/>
      </w:tabs>
      <w:ind w:hanging="567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nenumbering">
    <w:name w:val="Line numbering"/>
  </w:style>
  <w:style w:type="character" w:customStyle="1" w:styleId="MT1">
    <w:name w:val="MT1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2A616BA46D04FA21A1D1F7C0C1816" ma:contentTypeVersion="18" ma:contentTypeDescription="Create a new document." ma:contentTypeScope="" ma:versionID="8bc3c8e98ed0ea2369a59ffa46fec57f">
  <xsd:schema xmlns:xsd="http://www.w3.org/2001/XMLSchema" xmlns:xs="http://www.w3.org/2001/XMLSchema" xmlns:p="http://schemas.microsoft.com/office/2006/metadata/properties" xmlns:ns1="http://schemas.microsoft.com/sharepoint/v3" xmlns:ns2="27b52bf8-656f-4465-8ef2-f07cbb1c9723" xmlns:ns3="25b86bc2-2453-4f17-8b24-e6d85fe03bca" targetNamespace="http://schemas.microsoft.com/office/2006/metadata/properties" ma:root="true" ma:fieldsID="06d7b5f508c2db0f16b20768cf9d5a2e" ns1:_="" ns2:_="" ns3:_="">
    <xsd:import namespace="http://schemas.microsoft.com/sharepoint/v3"/>
    <xsd:import namespace="27b52bf8-656f-4465-8ef2-f07cbb1c9723"/>
    <xsd:import namespace="25b86bc2-2453-4f17-8b24-e6d85fe03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2bf8-656f-4465-8ef2-f07cbb1c9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3c64dd7-bb05-441d-bb5a-3545560a0c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86bc2-2453-4f17-8b24-e6d85fe03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9b27067-afb0-4c2a-b4ab-67628159eecd}" ma:internalName="TaxCatchAll" ma:showField="CatchAllData" ma:web="25b86bc2-2453-4f17-8b24-e6d85fe03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5b86bc2-2453-4f17-8b24-e6d85fe03bca" xsi:nil="true"/>
    <_ip_UnifiedCompliancePolicyProperties xmlns="http://schemas.microsoft.com/sharepoint/v3" xsi:nil="true"/>
    <lcf76f155ced4ddcb4097134ff3c332f xmlns="27b52bf8-656f-4465-8ef2-f07cbb1c97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1D5A78-E37B-425E-9F36-9EC7733B3919}"/>
</file>

<file path=customXml/itemProps2.xml><?xml version="1.0" encoding="utf-8"?>
<ds:datastoreItem xmlns:ds="http://schemas.openxmlformats.org/officeDocument/2006/customXml" ds:itemID="{0DD380FD-D03D-4307-9866-81C1570CEB80}"/>
</file>

<file path=customXml/itemProps3.xml><?xml version="1.0" encoding="utf-8"?>
<ds:datastoreItem xmlns:ds="http://schemas.openxmlformats.org/officeDocument/2006/customXml" ds:itemID="{E1BBAEB4-C85B-4F85-9715-C6C1CB6502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Binner, Fallon</dc:creator>
  <cp:lastModifiedBy>Binner, Fallon</cp:lastModifiedBy>
  <cp:revision>2</cp:revision>
  <dcterms:created xsi:type="dcterms:W3CDTF">2024-10-21T20:22:00Z</dcterms:created>
  <dcterms:modified xsi:type="dcterms:W3CDTF">2024-10-21T20:22:00Z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lBody">
    <vt:lpwstr>S</vt:lpwstr>
  </property>
  <property fmtid="{D5CDD505-2E9C-101B-9397-08002B2CF9AE}" pid="3" name="BillNumber">
    <vt:lpwstr>0548</vt:lpwstr>
  </property>
  <property fmtid="{D5CDD505-2E9C-101B-9397-08002B2CF9AE}" pid="4" name="BillType">
    <vt:lpwstr>B</vt:lpwstr>
  </property>
  <property fmtid="{D5CDD505-2E9C-101B-9397-08002B2CF9AE}" pid="5" name="MetaTitle">
    <vt:lpwstr>Regular Session 2023-2024 Senate Bill 548 P.N 757</vt:lpwstr>
  </property>
  <property fmtid="{D5CDD505-2E9C-101B-9397-08002B2CF9AE}" pid="6" name="PrintersNumber">
    <vt:lpwstr>0757</vt:lpwstr>
  </property>
  <property fmtid="{D5CDD505-2E9C-101B-9397-08002B2CF9AE}" pid="7" name="SessionIndicator">
    <vt:lpwstr>0</vt:lpwstr>
  </property>
  <property fmtid="{D5CDD505-2E9C-101B-9397-08002B2CF9AE}" pid="8" name="SessionText">
    <vt:lpwstr>Regular Session 2023-2024</vt:lpwstr>
  </property>
  <property fmtid="{D5CDD505-2E9C-101B-9397-08002B2CF9AE}" pid="9" name="SessionYear">
    <vt:lpwstr>2023</vt:lpwstr>
  </property>
  <property fmtid="{D5CDD505-2E9C-101B-9397-08002B2CF9AE}" pid="10" name="ContentTypeId">
    <vt:lpwstr>0x0101007F92A616BA46D04FA21A1D1F7C0C1816</vt:lpwstr>
  </property>
</Properties>
</file>